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37" w:type="pct"/>
        <w:tblLook w:val="04A0"/>
      </w:tblPr>
      <w:tblGrid>
        <w:gridCol w:w="1327"/>
        <w:gridCol w:w="1120"/>
        <w:gridCol w:w="3233"/>
        <w:gridCol w:w="3003"/>
        <w:gridCol w:w="2591"/>
        <w:gridCol w:w="2230"/>
        <w:gridCol w:w="2301"/>
        <w:gridCol w:w="2347"/>
        <w:gridCol w:w="2479"/>
        <w:gridCol w:w="2797"/>
      </w:tblGrid>
      <w:tr w:rsidR="002374AE" w:rsidRPr="00177C10" w:rsidTr="001F6656">
        <w:trPr>
          <w:trHeight w:val="709"/>
          <w:tblHeader/>
        </w:trPr>
        <w:tc>
          <w:tcPr>
            <w:tcW w:w="283" w:type="pct"/>
            <w:shd w:val="clear" w:color="auto" w:fill="DBE5F1" w:themeFill="accent1" w:themeFillTint="33"/>
            <w:vAlign w:val="bottom"/>
          </w:tcPr>
          <w:p w:rsidR="00496604" w:rsidRPr="00177C10" w:rsidRDefault="00496604" w:rsidP="00D52381">
            <w:pPr>
              <w:ind w:left="180" w:firstLine="0"/>
              <w:jc w:val="center"/>
              <w:rPr>
                <w:i/>
                <w:sz w:val="18"/>
                <w:szCs w:val="18"/>
              </w:rPr>
            </w:pPr>
          </w:p>
        </w:tc>
        <w:tc>
          <w:tcPr>
            <w:tcW w:w="239" w:type="pct"/>
            <w:shd w:val="clear" w:color="auto" w:fill="D9D9D9" w:themeFill="background1" w:themeFillShade="D9"/>
            <w:vAlign w:val="bottom"/>
          </w:tcPr>
          <w:p w:rsidR="00496604" w:rsidRPr="00177C10" w:rsidRDefault="00496604" w:rsidP="002374AE">
            <w:pPr>
              <w:ind w:left="33" w:firstLine="0"/>
              <w:jc w:val="center"/>
              <w:rPr>
                <w:b/>
                <w:sz w:val="18"/>
                <w:szCs w:val="18"/>
              </w:rPr>
            </w:pPr>
            <w:r>
              <w:rPr>
                <w:b/>
                <w:sz w:val="18"/>
                <w:szCs w:val="18"/>
              </w:rPr>
              <w:t>Denver (DRCOG)</w:t>
            </w:r>
          </w:p>
        </w:tc>
        <w:tc>
          <w:tcPr>
            <w:tcW w:w="690" w:type="pct"/>
            <w:shd w:val="clear" w:color="auto" w:fill="DBE5F1" w:themeFill="accent1" w:themeFillTint="33"/>
            <w:vAlign w:val="bottom"/>
          </w:tcPr>
          <w:p w:rsidR="00496604" w:rsidRPr="00177C10" w:rsidRDefault="00496604" w:rsidP="00AC3AB8">
            <w:pPr>
              <w:ind w:left="180" w:firstLine="0"/>
              <w:jc w:val="center"/>
              <w:rPr>
                <w:b/>
                <w:sz w:val="18"/>
                <w:szCs w:val="18"/>
              </w:rPr>
            </w:pPr>
            <w:r w:rsidRPr="00177C10">
              <w:rPr>
                <w:b/>
                <w:sz w:val="18"/>
                <w:szCs w:val="18"/>
              </w:rPr>
              <w:t>Atlanta Regional Council (ARC)</w:t>
            </w:r>
          </w:p>
        </w:tc>
        <w:tc>
          <w:tcPr>
            <w:tcW w:w="641" w:type="pct"/>
            <w:shd w:val="clear" w:color="auto" w:fill="DBE5F1" w:themeFill="accent1" w:themeFillTint="33"/>
            <w:vAlign w:val="bottom"/>
          </w:tcPr>
          <w:p w:rsidR="00496604" w:rsidRPr="00177C10" w:rsidRDefault="00496604" w:rsidP="00657F8C">
            <w:pPr>
              <w:ind w:left="180" w:firstLine="0"/>
              <w:jc w:val="center"/>
              <w:rPr>
                <w:sz w:val="18"/>
                <w:szCs w:val="18"/>
              </w:rPr>
            </w:pPr>
            <w:r w:rsidRPr="00177C10">
              <w:rPr>
                <w:b/>
                <w:sz w:val="18"/>
                <w:szCs w:val="18"/>
              </w:rPr>
              <w:t>Chicago Metropolitan Agency for Planning (CMAP)</w:t>
            </w:r>
          </w:p>
        </w:tc>
        <w:tc>
          <w:tcPr>
            <w:tcW w:w="553" w:type="pct"/>
            <w:shd w:val="clear" w:color="auto" w:fill="DBE5F1" w:themeFill="accent1" w:themeFillTint="33"/>
            <w:vAlign w:val="bottom"/>
          </w:tcPr>
          <w:p w:rsidR="00496604" w:rsidRPr="00177C10" w:rsidRDefault="00496604" w:rsidP="00657F8C">
            <w:pPr>
              <w:ind w:left="180" w:firstLine="0"/>
              <w:jc w:val="center"/>
              <w:rPr>
                <w:b/>
                <w:sz w:val="18"/>
                <w:szCs w:val="18"/>
              </w:rPr>
            </w:pPr>
            <w:r w:rsidRPr="00177C10">
              <w:rPr>
                <w:b/>
                <w:sz w:val="18"/>
                <w:szCs w:val="18"/>
              </w:rPr>
              <w:t xml:space="preserve">Delaware Valley Regional Planning Commission </w:t>
            </w:r>
          </w:p>
          <w:p w:rsidR="00496604" w:rsidRPr="00177C10" w:rsidRDefault="00496604" w:rsidP="00657F8C">
            <w:pPr>
              <w:ind w:left="180" w:firstLine="0"/>
              <w:jc w:val="center"/>
              <w:rPr>
                <w:sz w:val="18"/>
                <w:szCs w:val="18"/>
              </w:rPr>
            </w:pPr>
            <w:r w:rsidRPr="00177C10">
              <w:rPr>
                <w:b/>
                <w:sz w:val="18"/>
                <w:szCs w:val="18"/>
              </w:rPr>
              <w:t>(DVRPC - Philadelphia)</w:t>
            </w:r>
          </w:p>
        </w:tc>
        <w:tc>
          <w:tcPr>
            <w:tcW w:w="476" w:type="pct"/>
            <w:shd w:val="clear" w:color="auto" w:fill="DBE5F1" w:themeFill="accent1" w:themeFillTint="33"/>
            <w:vAlign w:val="bottom"/>
          </w:tcPr>
          <w:p w:rsidR="00496604" w:rsidRPr="00177C10" w:rsidRDefault="00496604" w:rsidP="00657F8C">
            <w:pPr>
              <w:ind w:left="180" w:firstLine="0"/>
              <w:jc w:val="center"/>
              <w:rPr>
                <w:sz w:val="18"/>
                <w:szCs w:val="18"/>
              </w:rPr>
            </w:pPr>
            <w:r w:rsidRPr="00177C10">
              <w:rPr>
                <w:b/>
                <w:sz w:val="18"/>
                <w:szCs w:val="18"/>
              </w:rPr>
              <w:t>Metropolitan Council (Minneapolis-St Paul)</w:t>
            </w:r>
          </w:p>
        </w:tc>
        <w:tc>
          <w:tcPr>
            <w:tcW w:w="491" w:type="pct"/>
            <w:shd w:val="clear" w:color="auto" w:fill="DBE5F1" w:themeFill="accent1" w:themeFillTint="33"/>
            <w:vAlign w:val="bottom"/>
          </w:tcPr>
          <w:p w:rsidR="00496604" w:rsidRPr="00177C10" w:rsidRDefault="00496604" w:rsidP="00657F8C">
            <w:pPr>
              <w:ind w:left="180" w:firstLine="0"/>
              <w:jc w:val="center"/>
              <w:rPr>
                <w:sz w:val="18"/>
                <w:szCs w:val="18"/>
              </w:rPr>
            </w:pPr>
            <w:r w:rsidRPr="00177C10">
              <w:rPr>
                <w:b/>
                <w:sz w:val="18"/>
                <w:szCs w:val="18"/>
              </w:rPr>
              <w:t>Mid-America Regional Council (MARC - Kansas City)</w:t>
            </w:r>
          </w:p>
        </w:tc>
        <w:tc>
          <w:tcPr>
            <w:tcW w:w="501" w:type="pct"/>
            <w:shd w:val="clear" w:color="auto" w:fill="DBE5F1" w:themeFill="accent1" w:themeFillTint="33"/>
            <w:vAlign w:val="bottom"/>
          </w:tcPr>
          <w:p w:rsidR="00496604" w:rsidRPr="00177C10" w:rsidRDefault="00496604" w:rsidP="00657F8C">
            <w:pPr>
              <w:ind w:left="180" w:firstLine="0"/>
              <w:jc w:val="center"/>
              <w:rPr>
                <w:b/>
                <w:sz w:val="18"/>
                <w:szCs w:val="18"/>
              </w:rPr>
            </w:pPr>
            <w:r w:rsidRPr="00177C10">
              <w:rPr>
                <w:b/>
                <w:sz w:val="18"/>
                <w:szCs w:val="18"/>
              </w:rPr>
              <w:t xml:space="preserve">Mid-Ohio Regional Planning Commission </w:t>
            </w:r>
          </w:p>
          <w:p w:rsidR="00496604" w:rsidRPr="00177C10" w:rsidRDefault="00496604" w:rsidP="00657F8C">
            <w:pPr>
              <w:ind w:left="180" w:firstLine="0"/>
              <w:jc w:val="center"/>
              <w:rPr>
                <w:sz w:val="18"/>
                <w:szCs w:val="18"/>
              </w:rPr>
            </w:pPr>
            <w:r w:rsidRPr="00177C10">
              <w:rPr>
                <w:b/>
                <w:sz w:val="18"/>
                <w:szCs w:val="18"/>
              </w:rPr>
              <w:t>(MORPC - Columbus)</w:t>
            </w:r>
          </w:p>
        </w:tc>
        <w:tc>
          <w:tcPr>
            <w:tcW w:w="529" w:type="pct"/>
            <w:shd w:val="clear" w:color="auto" w:fill="DBE5F1" w:themeFill="accent1" w:themeFillTint="33"/>
            <w:vAlign w:val="bottom"/>
          </w:tcPr>
          <w:p w:rsidR="00496604" w:rsidRPr="00177C10" w:rsidRDefault="00496604" w:rsidP="00657F8C">
            <w:pPr>
              <w:ind w:left="180" w:firstLine="0"/>
              <w:jc w:val="center"/>
              <w:rPr>
                <w:b/>
                <w:sz w:val="18"/>
                <w:szCs w:val="18"/>
              </w:rPr>
            </w:pPr>
            <w:r w:rsidRPr="00177C10">
              <w:rPr>
                <w:b/>
                <w:sz w:val="18"/>
                <w:szCs w:val="18"/>
              </w:rPr>
              <w:t xml:space="preserve">Mid-Region Council of </w:t>
            </w:r>
            <w:proofErr w:type="spellStart"/>
            <w:r w:rsidRPr="00177C10">
              <w:rPr>
                <w:b/>
                <w:sz w:val="18"/>
                <w:szCs w:val="18"/>
              </w:rPr>
              <w:t>Govts</w:t>
            </w:r>
            <w:proofErr w:type="spellEnd"/>
            <w:r w:rsidRPr="00177C10">
              <w:rPr>
                <w:b/>
                <w:sz w:val="18"/>
                <w:szCs w:val="18"/>
              </w:rPr>
              <w:t xml:space="preserve"> /</w:t>
            </w:r>
          </w:p>
          <w:p w:rsidR="00496604" w:rsidRPr="00177C10" w:rsidRDefault="00496604" w:rsidP="00657F8C">
            <w:pPr>
              <w:ind w:left="180" w:firstLine="0"/>
              <w:jc w:val="center"/>
              <w:rPr>
                <w:sz w:val="18"/>
                <w:szCs w:val="18"/>
              </w:rPr>
            </w:pPr>
            <w:r w:rsidRPr="00177C10">
              <w:rPr>
                <w:b/>
                <w:sz w:val="18"/>
                <w:szCs w:val="18"/>
              </w:rPr>
              <w:t>Mid-Region MPO (Albuquerque)</w:t>
            </w:r>
          </w:p>
        </w:tc>
        <w:tc>
          <w:tcPr>
            <w:tcW w:w="597" w:type="pct"/>
            <w:shd w:val="clear" w:color="auto" w:fill="DBE5F1" w:themeFill="accent1" w:themeFillTint="33"/>
            <w:vAlign w:val="bottom"/>
          </w:tcPr>
          <w:p w:rsidR="00496604" w:rsidRPr="00177C10" w:rsidRDefault="00496604" w:rsidP="00657F8C">
            <w:pPr>
              <w:ind w:left="180" w:firstLine="0"/>
              <w:jc w:val="center"/>
              <w:rPr>
                <w:b/>
                <w:sz w:val="18"/>
                <w:szCs w:val="18"/>
              </w:rPr>
            </w:pPr>
            <w:r w:rsidRPr="00177C10">
              <w:rPr>
                <w:b/>
                <w:sz w:val="18"/>
                <w:szCs w:val="18"/>
              </w:rPr>
              <w:t xml:space="preserve">Puget Sound Regional Council </w:t>
            </w:r>
          </w:p>
          <w:p w:rsidR="00496604" w:rsidRPr="00177C10" w:rsidRDefault="00496604" w:rsidP="00657F8C">
            <w:pPr>
              <w:ind w:left="180" w:firstLine="0"/>
              <w:jc w:val="center"/>
              <w:rPr>
                <w:sz w:val="18"/>
                <w:szCs w:val="18"/>
              </w:rPr>
            </w:pPr>
            <w:r w:rsidRPr="00177C10">
              <w:rPr>
                <w:b/>
                <w:sz w:val="18"/>
                <w:szCs w:val="18"/>
              </w:rPr>
              <w:t>(PSRC - Seattle)</w:t>
            </w:r>
          </w:p>
        </w:tc>
      </w:tr>
      <w:tr w:rsidR="002374AE" w:rsidRPr="00177C10" w:rsidTr="001F6656">
        <w:trPr>
          <w:trHeight w:val="1264"/>
        </w:trPr>
        <w:tc>
          <w:tcPr>
            <w:tcW w:w="283" w:type="pct"/>
          </w:tcPr>
          <w:p w:rsidR="00496604" w:rsidRDefault="00496604" w:rsidP="00CA5BC3">
            <w:pPr>
              <w:ind w:left="90" w:firstLine="0"/>
              <w:rPr>
                <w:b/>
                <w:sz w:val="18"/>
                <w:szCs w:val="18"/>
              </w:rPr>
            </w:pPr>
            <w:r>
              <w:rPr>
                <w:b/>
                <w:sz w:val="18"/>
                <w:szCs w:val="18"/>
              </w:rPr>
              <w:t xml:space="preserve">1.  </w:t>
            </w:r>
          </w:p>
          <w:p w:rsidR="00496604" w:rsidRPr="00177C10" w:rsidRDefault="00496604" w:rsidP="00CA5BC3">
            <w:pPr>
              <w:ind w:left="90" w:firstLine="0"/>
              <w:rPr>
                <w:b/>
                <w:sz w:val="18"/>
                <w:szCs w:val="18"/>
              </w:rPr>
            </w:pPr>
            <w:r>
              <w:rPr>
                <w:b/>
                <w:sz w:val="18"/>
                <w:szCs w:val="18"/>
              </w:rPr>
              <w:t>Approx. Annual STP &amp; CMAQ Funding</w:t>
            </w:r>
          </w:p>
        </w:tc>
        <w:tc>
          <w:tcPr>
            <w:tcW w:w="239" w:type="pct"/>
            <w:shd w:val="clear" w:color="auto" w:fill="D9D9D9" w:themeFill="background1" w:themeFillShade="D9"/>
          </w:tcPr>
          <w:p w:rsidR="00496604" w:rsidRDefault="00496604" w:rsidP="00AC3AB8">
            <w:pPr>
              <w:ind w:left="0" w:firstLine="0"/>
              <w:rPr>
                <w:sz w:val="18"/>
                <w:szCs w:val="18"/>
              </w:rPr>
            </w:pPr>
            <w:r>
              <w:rPr>
                <w:sz w:val="18"/>
                <w:szCs w:val="18"/>
              </w:rPr>
              <w:t>$65m</w:t>
            </w:r>
          </w:p>
        </w:tc>
        <w:tc>
          <w:tcPr>
            <w:tcW w:w="690" w:type="pct"/>
          </w:tcPr>
          <w:p w:rsidR="00496604" w:rsidRPr="00177C10" w:rsidRDefault="00496604" w:rsidP="00AC3AB8">
            <w:pPr>
              <w:ind w:left="0" w:firstLine="0"/>
              <w:rPr>
                <w:sz w:val="18"/>
                <w:szCs w:val="18"/>
              </w:rPr>
            </w:pPr>
            <w:r>
              <w:rPr>
                <w:sz w:val="18"/>
                <w:szCs w:val="18"/>
              </w:rPr>
              <w:t>$99m</w:t>
            </w:r>
          </w:p>
        </w:tc>
        <w:tc>
          <w:tcPr>
            <w:tcW w:w="641" w:type="pct"/>
          </w:tcPr>
          <w:p w:rsidR="00496604" w:rsidRPr="00177C10" w:rsidRDefault="00496604" w:rsidP="008B3EDD">
            <w:pPr>
              <w:ind w:left="0" w:firstLine="0"/>
              <w:rPr>
                <w:sz w:val="18"/>
                <w:szCs w:val="18"/>
              </w:rPr>
            </w:pPr>
            <w:r>
              <w:rPr>
                <w:sz w:val="18"/>
                <w:szCs w:val="18"/>
              </w:rPr>
              <w:t>$230m</w:t>
            </w:r>
          </w:p>
        </w:tc>
        <w:tc>
          <w:tcPr>
            <w:tcW w:w="553" w:type="pct"/>
          </w:tcPr>
          <w:p w:rsidR="00496604" w:rsidRDefault="00496604" w:rsidP="008B3EDD">
            <w:pPr>
              <w:ind w:left="0" w:firstLine="0"/>
              <w:rPr>
                <w:sz w:val="18"/>
                <w:szCs w:val="18"/>
              </w:rPr>
            </w:pPr>
            <w:r>
              <w:rPr>
                <w:sz w:val="18"/>
                <w:szCs w:val="18"/>
              </w:rPr>
              <w:t xml:space="preserve">$63m </w:t>
            </w:r>
          </w:p>
          <w:p w:rsidR="00496604" w:rsidRPr="00177C10" w:rsidRDefault="00496604" w:rsidP="008B3EDD">
            <w:pPr>
              <w:ind w:left="0" w:firstLine="0"/>
              <w:rPr>
                <w:sz w:val="18"/>
                <w:szCs w:val="18"/>
              </w:rPr>
            </w:pPr>
            <w:r>
              <w:rPr>
                <w:sz w:val="18"/>
                <w:szCs w:val="18"/>
              </w:rPr>
              <w:t>(NJ STP figures include NJDOT funding swap)</w:t>
            </w:r>
          </w:p>
        </w:tc>
        <w:tc>
          <w:tcPr>
            <w:tcW w:w="476" w:type="pct"/>
          </w:tcPr>
          <w:p w:rsidR="00496604" w:rsidRPr="00177C10" w:rsidRDefault="00496604" w:rsidP="008B3EDD">
            <w:pPr>
              <w:ind w:left="0" w:firstLine="0"/>
              <w:rPr>
                <w:sz w:val="18"/>
                <w:szCs w:val="18"/>
              </w:rPr>
            </w:pPr>
            <w:r>
              <w:rPr>
                <w:sz w:val="18"/>
                <w:szCs w:val="18"/>
              </w:rPr>
              <w:t>$75m</w:t>
            </w:r>
          </w:p>
        </w:tc>
        <w:tc>
          <w:tcPr>
            <w:tcW w:w="491" w:type="pct"/>
          </w:tcPr>
          <w:p w:rsidR="00496604" w:rsidRPr="00177C10" w:rsidRDefault="00496604" w:rsidP="008B3EDD">
            <w:pPr>
              <w:ind w:left="0" w:firstLine="0"/>
              <w:rPr>
                <w:sz w:val="18"/>
                <w:szCs w:val="18"/>
              </w:rPr>
            </w:pPr>
            <w:r>
              <w:rPr>
                <w:sz w:val="18"/>
                <w:szCs w:val="18"/>
              </w:rPr>
              <w:t>$35m</w:t>
            </w:r>
          </w:p>
        </w:tc>
        <w:tc>
          <w:tcPr>
            <w:tcW w:w="501" w:type="pct"/>
          </w:tcPr>
          <w:p w:rsidR="00496604" w:rsidRPr="00177C10" w:rsidRDefault="00496604" w:rsidP="008B3EDD">
            <w:pPr>
              <w:ind w:left="0" w:firstLine="0"/>
              <w:rPr>
                <w:sz w:val="18"/>
                <w:szCs w:val="18"/>
              </w:rPr>
            </w:pPr>
            <w:r>
              <w:rPr>
                <w:sz w:val="18"/>
                <w:szCs w:val="18"/>
              </w:rPr>
              <w:t>$31m</w:t>
            </w:r>
          </w:p>
        </w:tc>
        <w:tc>
          <w:tcPr>
            <w:tcW w:w="529" w:type="pct"/>
          </w:tcPr>
          <w:p w:rsidR="00496604" w:rsidRPr="00177C10" w:rsidRDefault="00496604" w:rsidP="008B3EDD">
            <w:pPr>
              <w:ind w:left="0" w:firstLine="0"/>
              <w:rPr>
                <w:sz w:val="18"/>
                <w:szCs w:val="18"/>
              </w:rPr>
            </w:pPr>
            <w:r>
              <w:rPr>
                <w:sz w:val="18"/>
                <w:szCs w:val="18"/>
              </w:rPr>
              <w:t>$23m</w:t>
            </w:r>
          </w:p>
        </w:tc>
        <w:tc>
          <w:tcPr>
            <w:tcW w:w="597" w:type="pct"/>
          </w:tcPr>
          <w:p w:rsidR="00496604" w:rsidRPr="00177C10" w:rsidRDefault="00496604" w:rsidP="00EE1ACA">
            <w:pPr>
              <w:ind w:left="52" w:firstLine="0"/>
              <w:rPr>
                <w:sz w:val="18"/>
                <w:szCs w:val="18"/>
              </w:rPr>
            </w:pPr>
            <w:r>
              <w:rPr>
                <w:sz w:val="18"/>
                <w:szCs w:val="18"/>
              </w:rPr>
              <w:t>$80m</w:t>
            </w:r>
          </w:p>
        </w:tc>
      </w:tr>
      <w:tr w:rsidR="002374AE" w:rsidRPr="00177C10" w:rsidTr="001F6656">
        <w:trPr>
          <w:trHeight w:val="4267"/>
        </w:trPr>
        <w:tc>
          <w:tcPr>
            <w:tcW w:w="283" w:type="pct"/>
          </w:tcPr>
          <w:p w:rsidR="00496604" w:rsidRPr="00177C10" w:rsidRDefault="00496604" w:rsidP="00CA5BC3">
            <w:pPr>
              <w:ind w:left="90" w:firstLine="0"/>
              <w:rPr>
                <w:b/>
                <w:sz w:val="18"/>
                <w:szCs w:val="18"/>
              </w:rPr>
            </w:pPr>
            <w:r>
              <w:rPr>
                <w:b/>
                <w:sz w:val="18"/>
                <w:szCs w:val="18"/>
              </w:rPr>
              <w:t>2.</w:t>
            </w:r>
            <w:r w:rsidRPr="00177C10">
              <w:rPr>
                <w:b/>
                <w:sz w:val="18"/>
                <w:szCs w:val="18"/>
              </w:rPr>
              <w:t xml:space="preserve"> </w:t>
            </w:r>
          </w:p>
          <w:p w:rsidR="00496604" w:rsidRPr="00177C10" w:rsidRDefault="00496604" w:rsidP="00CA5BC3">
            <w:pPr>
              <w:ind w:left="90" w:firstLine="0"/>
              <w:rPr>
                <w:b/>
                <w:sz w:val="18"/>
                <w:szCs w:val="18"/>
              </w:rPr>
            </w:pPr>
            <w:r w:rsidRPr="00177C10">
              <w:rPr>
                <w:b/>
                <w:sz w:val="18"/>
                <w:szCs w:val="18"/>
              </w:rPr>
              <w:t>Sub-Regional Selection Process?</w:t>
            </w:r>
          </w:p>
        </w:tc>
        <w:tc>
          <w:tcPr>
            <w:tcW w:w="239" w:type="pct"/>
            <w:shd w:val="clear" w:color="auto" w:fill="D9D9D9" w:themeFill="background1" w:themeFillShade="D9"/>
          </w:tcPr>
          <w:p w:rsidR="00496604" w:rsidRPr="00177C10" w:rsidRDefault="00496604" w:rsidP="00AC3AB8">
            <w:pPr>
              <w:ind w:left="0" w:firstLine="0"/>
              <w:rPr>
                <w:sz w:val="18"/>
                <w:szCs w:val="18"/>
              </w:rPr>
            </w:pPr>
            <w:r>
              <w:rPr>
                <w:sz w:val="18"/>
                <w:szCs w:val="18"/>
              </w:rPr>
              <w:t>No</w:t>
            </w:r>
          </w:p>
        </w:tc>
        <w:tc>
          <w:tcPr>
            <w:tcW w:w="690" w:type="pct"/>
          </w:tcPr>
          <w:p w:rsidR="00496604" w:rsidRPr="00177C10" w:rsidRDefault="00496604" w:rsidP="00AC3AB8">
            <w:pPr>
              <w:ind w:left="0" w:firstLine="0"/>
              <w:rPr>
                <w:i/>
                <w:sz w:val="18"/>
                <w:szCs w:val="18"/>
              </w:rPr>
            </w:pPr>
            <w:r w:rsidRPr="00177C10">
              <w:rPr>
                <w:sz w:val="18"/>
                <w:szCs w:val="18"/>
              </w:rPr>
              <w:t>No</w:t>
            </w:r>
          </w:p>
          <w:p w:rsidR="00496604" w:rsidRPr="00177C10" w:rsidRDefault="00496604" w:rsidP="00AC3AB8">
            <w:pPr>
              <w:ind w:left="0" w:firstLine="0"/>
              <w:rPr>
                <w:sz w:val="18"/>
                <w:szCs w:val="18"/>
              </w:rPr>
            </w:pPr>
          </w:p>
        </w:tc>
        <w:tc>
          <w:tcPr>
            <w:tcW w:w="641" w:type="pct"/>
          </w:tcPr>
          <w:p w:rsidR="00496604" w:rsidRPr="00177C10" w:rsidRDefault="00496604" w:rsidP="008B3EDD">
            <w:pPr>
              <w:ind w:left="0" w:firstLine="0"/>
              <w:rPr>
                <w:sz w:val="18"/>
                <w:szCs w:val="18"/>
              </w:rPr>
            </w:pPr>
            <w:r w:rsidRPr="00177C10">
              <w:rPr>
                <w:sz w:val="18"/>
                <w:szCs w:val="18"/>
              </w:rPr>
              <w:t>Regional STP-Metro allocation is divided by geography. 5% off the top for projects that benefit the region (programmed by City of Chicago). Of the remaining, 45% goes to Chicago to program and 55% goes to suburban councils to program. Suburban council money is divvied up based on population</w:t>
            </w:r>
          </w:p>
          <w:p w:rsidR="00496604" w:rsidRPr="00177C10" w:rsidRDefault="00496604" w:rsidP="008B3EDD">
            <w:pPr>
              <w:ind w:left="180" w:firstLine="0"/>
              <w:rPr>
                <w:sz w:val="18"/>
                <w:szCs w:val="18"/>
              </w:rPr>
            </w:pPr>
          </w:p>
        </w:tc>
        <w:tc>
          <w:tcPr>
            <w:tcW w:w="553" w:type="pct"/>
          </w:tcPr>
          <w:p w:rsidR="00496604" w:rsidRPr="00177C10" w:rsidRDefault="00496604" w:rsidP="008B3EDD">
            <w:pPr>
              <w:ind w:left="0" w:firstLine="0"/>
              <w:rPr>
                <w:sz w:val="18"/>
                <w:szCs w:val="18"/>
              </w:rPr>
            </w:pPr>
            <w:r w:rsidRPr="00177C10">
              <w:rPr>
                <w:sz w:val="18"/>
                <w:szCs w:val="18"/>
              </w:rPr>
              <w:t>Funds/selection processes separated by state (Pennsylvania, New Jersey)</w:t>
            </w:r>
          </w:p>
          <w:p w:rsidR="00496604" w:rsidRPr="00177C10" w:rsidRDefault="00496604" w:rsidP="00D52381">
            <w:pPr>
              <w:ind w:left="180" w:firstLine="0"/>
              <w:rPr>
                <w:sz w:val="18"/>
                <w:szCs w:val="18"/>
              </w:rPr>
            </w:pPr>
          </w:p>
        </w:tc>
        <w:tc>
          <w:tcPr>
            <w:tcW w:w="476" w:type="pct"/>
          </w:tcPr>
          <w:p w:rsidR="00496604" w:rsidRPr="00177C10" w:rsidRDefault="00496604" w:rsidP="008B3EDD">
            <w:pPr>
              <w:ind w:left="0" w:firstLine="0"/>
              <w:rPr>
                <w:sz w:val="18"/>
                <w:szCs w:val="18"/>
              </w:rPr>
            </w:pPr>
            <w:r w:rsidRPr="00177C10">
              <w:rPr>
                <w:sz w:val="18"/>
                <w:szCs w:val="18"/>
              </w:rPr>
              <w:t>No</w:t>
            </w:r>
          </w:p>
          <w:p w:rsidR="00496604" w:rsidRPr="00177C10" w:rsidRDefault="00496604" w:rsidP="00D52381">
            <w:pPr>
              <w:ind w:left="180" w:firstLine="0"/>
              <w:rPr>
                <w:sz w:val="18"/>
                <w:szCs w:val="18"/>
              </w:rPr>
            </w:pPr>
          </w:p>
        </w:tc>
        <w:tc>
          <w:tcPr>
            <w:tcW w:w="491" w:type="pct"/>
          </w:tcPr>
          <w:p w:rsidR="00496604" w:rsidRPr="00177C10" w:rsidRDefault="00496604" w:rsidP="008B3EDD">
            <w:pPr>
              <w:ind w:left="0" w:firstLine="0"/>
              <w:rPr>
                <w:sz w:val="18"/>
                <w:szCs w:val="18"/>
              </w:rPr>
            </w:pPr>
            <w:r w:rsidRPr="00177C10">
              <w:rPr>
                <w:sz w:val="18"/>
                <w:szCs w:val="18"/>
              </w:rPr>
              <w:t>Yes, funds separated by state (Kansas, Missouri)</w:t>
            </w:r>
          </w:p>
          <w:p w:rsidR="00496604" w:rsidRPr="00177C10" w:rsidRDefault="00496604" w:rsidP="00451604">
            <w:pPr>
              <w:ind w:left="180" w:firstLine="0"/>
              <w:rPr>
                <w:sz w:val="18"/>
                <w:szCs w:val="18"/>
              </w:rPr>
            </w:pPr>
          </w:p>
          <w:p w:rsidR="00496604" w:rsidRPr="00177C10" w:rsidRDefault="00496604" w:rsidP="00D52381">
            <w:pPr>
              <w:ind w:left="180" w:firstLine="0"/>
              <w:rPr>
                <w:sz w:val="18"/>
                <w:szCs w:val="18"/>
              </w:rPr>
            </w:pPr>
          </w:p>
        </w:tc>
        <w:tc>
          <w:tcPr>
            <w:tcW w:w="501" w:type="pct"/>
          </w:tcPr>
          <w:p w:rsidR="00496604" w:rsidRPr="00177C10" w:rsidRDefault="00496604" w:rsidP="008B3EDD">
            <w:pPr>
              <w:ind w:left="0" w:firstLine="0"/>
              <w:rPr>
                <w:sz w:val="18"/>
                <w:szCs w:val="18"/>
              </w:rPr>
            </w:pPr>
            <w:r w:rsidRPr="00177C10">
              <w:rPr>
                <w:sz w:val="18"/>
                <w:szCs w:val="18"/>
              </w:rPr>
              <w:t>No</w:t>
            </w:r>
          </w:p>
          <w:p w:rsidR="00496604" w:rsidRPr="00177C10" w:rsidRDefault="00496604" w:rsidP="00D52381">
            <w:pPr>
              <w:ind w:left="180" w:firstLine="0"/>
              <w:rPr>
                <w:sz w:val="18"/>
                <w:szCs w:val="18"/>
              </w:rPr>
            </w:pPr>
          </w:p>
        </w:tc>
        <w:tc>
          <w:tcPr>
            <w:tcW w:w="529" w:type="pct"/>
          </w:tcPr>
          <w:p w:rsidR="00496604" w:rsidRPr="00177C10" w:rsidRDefault="00496604" w:rsidP="008B3EDD">
            <w:pPr>
              <w:ind w:left="0" w:firstLine="0"/>
              <w:rPr>
                <w:sz w:val="18"/>
                <w:szCs w:val="18"/>
              </w:rPr>
            </w:pPr>
            <w:r w:rsidRPr="00177C10">
              <w:rPr>
                <w:sz w:val="18"/>
                <w:szCs w:val="18"/>
              </w:rPr>
              <w:t>No</w:t>
            </w:r>
          </w:p>
          <w:p w:rsidR="00496604" w:rsidRPr="00177C10" w:rsidRDefault="00496604" w:rsidP="00D52381">
            <w:pPr>
              <w:ind w:left="180" w:firstLine="0"/>
              <w:rPr>
                <w:sz w:val="18"/>
                <w:szCs w:val="18"/>
              </w:rPr>
            </w:pPr>
          </w:p>
        </w:tc>
        <w:tc>
          <w:tcPr>
            <w:tcW w:w="597" w:type="pct"/>
          </w:tcPr>
          <w:p w:rsidR="00496604" w:rsidRPr="00177C10" w:rsidRDefault="00496604" w:rsidP="00EE1ACA">
            <w:pPr>
              <w:ind w:left="52" w:firstLine="0"/>
              <w:rPr>
                <w:sz w:val="18"/>
                <w:szCs w:val="18"/>
              </w:rPr>
            </w:pPr>
            <w:r w:rsidRPr="00177C10">
              <w:rPr>
                <w:sz w:val="18"/>
                <w:szCs w:val="18"/>
              </w:rPr>
              <w:t>Two calls for projects; funds split 50/50 between both calls</w:t>
            </w:r>
          </w:p>
          <w:p w:rsidR="00496604" w:rsidRPr="00177C10" w:rsidRDefault="00496604" w:rsidP="000A200D">
            <w:pPr>
              <w:ind w:left="180" w:firstLine="0"/>
              <w:rPr>
                <w:sz w:val="18"/>
                <w:szCs w:val="18"/>
                <w:u w:val="single"/>
              </w:rPr>
            </w:pPr>
            <w:r w:rsidRPr="00177C10">
              <w:rPr>
                <w:sz w:val="18"/>
                <w:szCs w:val="18"/>
                <w:u w:val="single"/>
              </w:rPr>
              <w:t xml:space="preserve">Regional </w:t>
            </w:r>
          </w:p>
          <w:p w:rsidR="00496604" w:rsidRPr="00177C10" w:rsidRDefault="00496604" w:rsidP="000A200D">
            <w:pPr>
              <w:numPr>
                <w:ilvl w:val="0"/>
                <w:numId w:val="8"/>
              </w:numPr>
              <w:rPr>
                <w:sz w:val="18"/>
                <w:szCs w:val="18"/>
              </w:rPr>
            </w:pPr>
            <w:r w:rsidRPr="00177C10">
              <w:rPr>
                <w:sz w:val="18"/>
                <w:szCs w:val="18"/>
              </w:rPr>
              <w:t>Applications limited by county</w:t>
            </w:r>
          </w:p>
          <w:p w:rsidR="00496604" w:rsidRPr="00177C10" w:rsidRDefault="00496604" w:rsidP="000A200D">
            <w:pPr>
              <w:numPr>
                <w:ilvl w:val="0"/>
                <w:numId w:val="8"/>
              </w:numPr>
              <w:rPr>
                <w:sz w:val="18"/>
                <w:szCs w:val="18"/>
              </w:rPr>
            </w:pPr>
            <w:r w:rsidRPr="00177C10">
              <w:rPr>
                <w:sz w:val="18"/>
                <w:szCs w:val="18"/>
              </w:rPr>
              <w:t>Intended for regional, high priority projects</w:t>
            </w:r>
          </w:p>
          <w:p w:rsidR="00496604" w:rsidRPr="00177C10" w:rsidRDefault="00496604" w:rsidP="000A200D">
            <w:pPr>
              <w:numPr>
                <w:ilvl w:val="0"/>
                <w:numId w:val="8"/>
              </w:numPr>
              <w:rPr>
                <w:sz w:val="18"/>
                <w:szCs w:val="18"/>
              </w:rPr>
            </w:pPr>
            <w:r w:rsidRPr="00177C10">
              <w:rPr>
                <w:sz w:val="18"/>
                <w:szCs w:val="18"/>
              </w:rPr>
              <w:t>Projects scored by staff, but the project rankings by the Regional Project Evaluation Committee (RPEC) take into consideration other factors (equity, cost effectiveness, etc)</w:t>
            </w:r>
          </w:p>
          <w:p w:rsidR="00496604" w:rsidRPr="00177C10" w:rsidRDefault="00496604" w:rsidP="000A200D">
            <w:pPr>
              <w:ind w:left="180" w:firstLine="0"/>
              <w:rPr>
                <w:sz w:val="18"/>
                <w:szCs w:val="18"/>
                <w:u w:val="single"/>
              </w:rPr>
            </w:pPr>
            <w:r w:rsidRPr="00177C10">
              <w:rPr>
                <w:sz w:val="18"/>
                <w:szCs w:val="18"/>
                <w:u w:val="single"/>
              </w:rPr>
              <w:t>County</w:t>
            </w:r>
          </w:p>
          <w:p w:rsidR="00496604" w:rsidRPr="00177C10" w:rsidRDefault="00496604" w:rsidP="000A200D">
            <w:pPr>
              <w:numPr>
                <w:ilvl w:val="0"/>
                <w:numId w:val="8"/>
              </w:numPr>
              <w:rPr>
                <w:sz w:val="18"/>
                <w:szCs w:val="18"/>
              </w:rPr>
            </w:pPr>
            <w:r w:rsidRPr="00177C10">
              <w:rPr>
                <w:sz w:val="18"/>
                <w:szCs w:val="18"/>
              </w:rPr>
              <w:t>Counties get allocations based on population</w:t>
            </w:r>
          </w:p>
          <w:p w:rsidR="00496604" w:rsidRPr="00177C10" w:rsidRDefault="00496604" w:rsidP="000A200D">
            <w:pPr>
              <w:numPr>
                <w:ilvl w:val="0"/>
                <w:numId w:val="8"/>
              </w:numPr>
              <w:rPr>
                <w:sz w:val="18"/>
                <w:szCs w:val="18"/>
              </w:rPr>
            </w:pPr>
            <w:r w:rsidRPr="00177C10">
              <w:rPr>
                <w:sz w:val="18"/>
                <w:szCs w:val="18"/>
              </w:rPr>
              <w:t>Select projects for inclusion based on internal processes/criteria (as long as they are consistent with federal statute)</w:t>
            </w:r>
          </w:p>
          <w:p w:rsidR="00496604" w:rsidRPr="00177C10" w:rsidRDefault="00496604" w:rsidP="0035733C">
            <w:pPr>
              <w:numPr>
                <w:ilvl w:val="0"/>
                <w:numId w:val="8"/>
              </w:numPr>
              <w:rPr>
                <w:sz w:val="18"/>
                <w:szCs w:val="18"/>
              </w:rPr>
            </w:pPr>
            <w:r w:rsidRPr="00177C10">
              <w:rPr>
                <w:sz w:val="18"/>
                <w:szCs w:val="18"/>
              </w:rPr>
              <w:t>Recommend projects to RPEC</w:t>
            </w:r>
          </w:p>
        </w:tc>
      </w:tr>
      <w:tr w:rsidR="002374AE" w:rsidRPr="00177C10" w:rsidTr="001F6656">
        <w:trPr>
          <w:trHeight w:val="1009"/>
        </w:trPr>
        <w:tc>
          <w:tcPr>
            <w:tcW w:w="283" w:type="pct"/>
          </w:tcPr>
          <w:p w:rsidR="00496604" w:rsidRPr="00177C10" w:rsidRDefault="00496604" w:rsidP="00D52381">
            <w:pPr>
              <w:ind w:left="180" w:firstLine="0"/>
              <w:rPr>
                <w:b/>
                <w:sz w:val="18"/>
                <w:szCs w:val="18"/>
              </w:rPr>
            </w:pPr>
            <w:r>
              <w:rPr>
                <w:b/>
                <w:sz w:val="18"/>
                <w:szCs w:val="18"/>
              </w:rPr>
              <w:t>3</w:t>
            </w:r>
            <w:r w:rsidRPr="00177C10">
              <w:rPr>
                <w:b/>
                <w:sz w:val="18"/>
                <w:szCs w:val="18"/>
              </w:rPr>
              <w:t xml:space="preserve">.  </w:t>
            </w:r>
          </w:p>
          <w:p w:rsidR="00496604" w:rsidRPr="00177C10" w:rsidRDefault="00496604" w:rsidP="00D52381">
            <w:pPr>
              <w:ind w:left="180" w:firstLine="0"/>
              <w:rPr>
                <w:b/>
                <w:sz w:val="18"/>
                <w:szCs w:val="18"/>
              </w:rPr>
            </w:pPr>
            <w:r w:rsidRPr="00177C10">
              <w:rPr>
                <w:b/>
                <w:sz w:val="18"/>
                <w:szCs w:val="18"/>
              </w:rPr>
              <w:t>Considers Geographic Equity</w:t>
            </w:r>
          </w:p>
        </w:tc>
        <w:tc>
          <w:tcPr>
            <w:tcW w:w="239" w:type="pct"/>
            <w:shd w:val="clear" w:color="auto" w:fill="D9D9D9" w:themeFill="background1" w:themeFillShade="D9"/>
          </w:tcPr>
          <w:p w:rsidR="00496604" w:rsidRPr="00177C10" w:rsidRDefault="00496604" w:rsidP="00AC3AB8">
            <w:pPr>
              <w:ind w:left="0" w:firstLine="0"/>
              <w:rPr>
                <w:sz w:val="18"/>
                <w:szCs w:val="18"/>
              </w:rPr>
            </w:pPr>
            <w:r>
              <w:rPr>
                <w:sz w:val="18"/>
                <w:szCs w:val="18"/>
              </w:rPr>
              <w:t>Yes</w:t>
            </w:r>
          </w:p>
        </w:tc>
        <w:tc>
          <w:tcPr>
            <w:tcW w:w="690" w:type="pct"/>
          </w:tcPr>
          <w:p w:rsidR="00496604" w:rsidRPr="00177C10" w:rsidRDefault="00496604" w:rsidP="00AC3AB8">
            <w:pPr>
              <w:ind w:left="0" w:firstLine="0"/>
              <w:rPr>
                <w:sz w:val="18"/>
                <w:szCs w:val="18"/>
              </w:rPr>
            </w:pPr>
            <w:r w:rsidRPr="00177C10">
              <w:rPr>
                <w:sz w:val="18"/>
                <w:szCs w:val="18"/>
              </w:rPr>
              <w:t>While there is no established equity policy, staff indicated that it is a consideration</w:t>
            </w:r>
          </w:p>
          <w:p w:rsidR="00496604" w:rsidRPr="00177C10" w:rsidRDefault="00496604" w:rsidP="00AC3AB8">
            <w:pPr>
              <w:ind w:left="0" w:firstLine="0"/>
              <w:rPr>
                <w:sz w:val="18"/>
                <w:szCs w:val="18"/>
              </w:rPr>
            </w:pPr>
          </w:p>
        </w:tc>
        <w:tc>
          <w:tcPr>
            <w:tcW w:w="641" w:type="pct"/>
          </w:tcPr>
          <w:p w:rsidR="00496604" w:rsidRPr="00177C10" w:rsidRDefault="00496604" w:rsidP="008B3EDD">
            <w:pPr>
              <w:ind w:left="0" w:firstLine="0"/>
              <w:rPr>
                <w:sz w:val="18"/>
                <w:szCs w:val="18"/>
              </w:rPr>
            </w:pPr>
            <w:r w:rsidRPr="00177C10">
              <w:rPr>
                <w:sz w:val="18"/>
                <w:szCs w:val="18"/>
              </w:rPr>
              <w:t>Yes, in that STP-Metro and STP-County (STP funds allocated to state based on non-metro population) funds are partially allocated by population</w:t>
            </w:r>
          </w:p>
          <w:p w:rsidR="00496604" w:rsidRPr="00177C10" w:rsidRDefault="00496604" w:rsidP="008B3EDD">
            <w:pPr>
              <w:ind w:left="180" w:firstLine="0"/>
              <w:rPr>
                <w:sz w:val="18"/>
                <w:szCs w:val="18"/>
              </w:rPr>
            </w:pPr>
          </w:p>
        </w:tc>
        <w:tc>
          <w:tcPr>
            <w:tcW w:w="553" w:type="pct"/>
          </w:tcPr>
          <w:p w:rsidR="00496604" w:rsidRPr="00177C10" w:rsidRDefault="00496604" w:rsidP="008B3EDD">
            <w:pPr>
              <w:ind w:left="0" w:firstLine="0"/>
              <w:rPr>
                <w:sz w:val="18"/>
                <w:szCs w:val="18"/>
              </w:rPr>
            </w:pPr>
            <w:r w:rsidRPr="00177C10">
              <w:rPr>
                <w:sz w:val="18"/>
                <w:szCs w:val="18"/>
              </w:rPr>
              <w:t>Equity is not considered within each TIP, but tends to balance out over TIP; subcommittee members are very aware of how much they have gotten, according to staff</w:t>
            </w:r>
          </w:p>
          <w:p w:rsidR="00496604" w:rsidRPr="00177C10" w:rsidRDefault="00496604" w:rsidP="00D52381">
            <w:pPr>
              <w:ind w:left="180" w:firstLine="0"/>
              <w:rPr>
                <w:sz w:val="18"/>
                <w:szCs w:val="18"/>
              </w:rPr>
            </w:pPr>
          </w:p>
        </w:tc>
        <w:tc>
          <w:tcPr>
            <w:tcW w:w="476" w:type="pct"/>
          </w:tcPr>
          <w:p w:rsidR="00496604" w:rsidRPr="00177C10" w:rsidRDefault="00496604" w:rsidP="008B3EDD">
            <w:pPr>
              <w:ind w:left="0" w:firstLine="0"/>
              <w:rPr>
                <w:sz w:val="18"/>
                <w:szCs w:val="18"/>
              </w:rPr>
            </w:pPr>
            <w:r w:rsidRPr="00177C10">
              <w:rPr>
                <w:sz w:val="18"/>
                <w:szCs w:val="18"/>
              </w:rPr>
              <w:t>Equity not officially a factor and points drive project ranking. However, staff thinks it’s rare that a county gets nothing</w:t>
            </w:r>
          </w:p>
          <w:p w:rsidR="00496604" w:rsidRPr="00177C10" w:rsidRDefault="00496604" w:rsidP="00D52381">
            <w:pPr>
              <w:ind w:left="180" w:firstLine="0"/>
              <w:rPr>
                <w:sz w:val="18"/>
                <w:szCs w:val="18"/>
              </w:rPr>
            </w:pPr>
          </w:p>
        </w:tc>
        <w:tc>
          <w:tcPr>
            <w:tcW w:w="491" w:type="pct"/>
          </w:tcPr>
          <w:p w:rsidR="00496604" w:rsidRPr="00177C10" w:rsidRDefault="00496604" w:rsidP="008B3EDD">
            <w:pPr>
              <w:ind w:left="0" w:firstLine="0"/>
              <w:rPr>
                <w:sz w:val="18"/>
                <w:szCs w:val="18"/>
              </w:rPr>
            </w:pPr>
            <w:r w:rsidRPr="00177C10">
              <w:rPr>
                <w:sz w:val="18"/>
                <w:szCs w:val="18"/>
              </w:rPr>
              <w:t>According to staff, equity considered unofficially during project ranking process</w:t>
            </w:r>
          </w:p>
          <w:p w:rsidR="00496604" w:rsidRPr="00177C10" w:rsidRDefault="00496604" w:rsidP="00D52381">
            <w:pPr>
              <w:ind w:left="180" w:firstLine="0"/>
              <w:rPr>
                <w:sz w:val="18"/>
                <w:szCs w:val="18"/>
              </w:rPr>
            </w:pPr>
          </w:p>
        </w:tc>
        <w:tc>
          <w:tcPr>
            <w:tcW w:w="501" w:type="pct"/>
          </w:tcPr>
          <w:p w:rsidR="00496604" w:rsidRPr="00177C10" w:rsidRDefault="00496604" w:rsidP="008B3EDD">
            <w:pPr>
              <w:ind w:left="0" w:firstLine="0"/>
              <w:rPr>
                <w:sz w:val="18"/>
                <w:szCs w:val="18"/>
              </w:rPr>
            </w:pPr>
            <w:r w:rsidRPr="00177C10">
              <w:rPr>
                <w:sz w:val="18"/>
                <w:szCs w:val="18"/>
              </w:rPr>
              <w:t>Staff indicated that equity is not explicitly considered in project rankings</w:t>
            </w:r>
          </w:p>
          <w:p w:rsidR="00496604" w:rsidRPr="00177C10" w:rsidRDefault="00496604" w:rsidP="00D52381">
            <w:pPr>
              <w:ind w:left="180" w:firstLine="0"/>
              <w:rPr>
                <w:sz w:val="18"/>
                <w:szCs w:val="18"/>
              </w:rPr>
            </w:pPr>
          </w:p>
        </w:tc>
        <w:tc>
          <w:tcPr>
            <w:tcW w:w="529" w:type="pct"/>
          </w:tcPr>
          <w:p w:rsidR="00496604" w:rsidRPr="00177C10" w:rsidRDefault="00496604" w:rsidP="008C5D20">
            <w:pPr>
              <w:ind w:left="0" w:firstLine="0"/>
              <w:rPr>
                <w:sz w:val="18"/>
                <w:szCs w:val="18"/>
              </w:rPr>
            </w:pPr>
            <w:r w:rsidRPr="00177C10">
              <w:rPr>
                <w:sz w:val="18"/>
                <w:szCs w:val="18"/>
              </w:rPr>
              <w:t xml:space="preserve">Equity is not an official factor in project selection, but staff indicated that cooperative project selection allows for subjectivity and that no counties have been completely left out of funding </w:t>
            </w:r>
          </w:p>
        </w:tc>
        <w:tc>
          <w:tcPr>
            <w:tcW w:w="597" w:type="pct"/>
          </w:tcPr>
          <w:p w:rsidR="00496604" w:rsidRPr="00177C10" w:rsidRDefault="00496604" w:rsidP="008B3EDD">
            <w:pPr>
              <w:ind w:left="0" w:firstLine="0"/>
              <w:rPr>
                <w:sz w:val="18"/>
                <w:szCs w:val="18"/>
              </w:rPr>
            </w:pPr>
            <w:r w:rsidRPr="00177C10">
              <w:rPr>
                <w:sz w:val="18"/>
                <w:szCs w:val="18"/>
              </w:rPr>
              <w:t>Staff indicated that equity is one of several factors used to rank projects submitted in the regional solicitation</w:t>
            </w:r>
          </w:p>
          <w:p w:rsidR="00496604" w:rsidRPr="00177C10" w:rsidRDefault="00496604" w:rsidP="00D52381">
            <w:pPr>
              <w:ind w:left="180" w:firstLine="0"/>
              <w:rPr>
                <w:sz w:val="18"/>
                <w:szCs w:val="18"/>
              </w:rPr>
            </w:pPr>
          </w:p>
        </w:tc>
      </w:tr>
      <w:tr w:rsidR="002374AE" w:rsidRPr="00177C10" w:rsidTr="001F6656">
        <w:trPr>
          <w:trHeight w:val="1455"/>
        </w:trPr>
        <w:tc>
          <w:tcPr>
            <w:tcW w:w="283" w:type="pct"/>
          </w:tcPr>
          <w:p w:rsidR="00496604" w:rsidRPr="00177C10" w:rsidRDefault="00496604" w:rsidP="00235E3A">
            <w:pPr>
              <w:ind w:left="180" w:firstLine="0"/>
              <w:rPr>
                <w:b/>
                <w:sz w:val="18"/>
                <w:szCs w:val="18"/>
              </w:rPr>
            </w:pPr>
            <w:r>
              <w:rPr>
                <w:b/>
                <w:sz w:val="18"/>
                <w:szCs w:val="18"/>
              </w:rPr>
              <w:t>4</w:t>
            </w:r>
            <w:r w:rsidRPr="00177C10">
              <w:rPr>
                <w:b/>
                <w:sz w:val="18"/>
                <w:szCs w:val="18"/>
              </w:rPr>
              <w:t xml:space="preserve">. </w:t>
            </w:r>
          </w:p>
          <w:p w:rsidR="00496604" w:rsidRPr="00177C10" w:rsidRDefault="00496604" w:rsidP="0035733C">
            <w:pPr>
              <w:ind w:left="180" w:firstLine="0"/>
              <w:rPr>
                <w:b/>
                <w:sz w:val="18"/>
                <w:szCs w:val="18"/>
              </w:rPr>
            </w:pPr>
            <w:r w:rsidRPr="00177C10">
              <w:rPr>
                <w:b/>
                <w:sz w:val="18"/>
                <w:szCs w:val="18"/>
              </w:rPr>
              <w:t>Special Project Selection Committee?</w:t>
            </w:r>
          </w:p>
        </w:tc>
        <w:tc>
          <w:tcPr>
            <w:tcW w:w="239" w:type="pct"/>
            <w:shd w:val="clear" w:color="auto" w:fill="D9D9D9" w:themeFill="background1" w:themeFillShade="D9"/>
          </w:tcPr>
          <w:p w:rsidR="00496604" w:rsidRPr="00177C10" w:rsidRDefault="00496604" w:rsidP="00AC3AB8">
            <w:pPr>
              <w:ind w:left="0" w:firstLine="0"/>
              <w:rPr>
                <w:sz w:val="18"/>
                <w:szCs w:val="18"/>
              </w:rPr>
            </w:pPr>
            <w:r>
              <w:rPr>
                <w:sz w:val="18"/>
                <w:szCs w:val="18"/>
              </w:rPr>
              <w:t>No</w:t>
            </w:r>
          </w:p>
        </w:tc>
        <w:tc>
          <w:tcPr>
            <w:tcW w:w="690" w:type="pct"/>
          </w:tcPr>
          <w:p w:rsidR="00496604" w:rsidRPr="00177C10" w:rsidRDefault="00496604" w:rsidP="00AC3AB8">
            <w:pPr>
              <w:ind w:left="0" w:firstLine="0"/>
              <w:rPr>
                <w:sz w:val="18"/>
                <w:szCs w:val="18"/>
              </w:rPr>
            </w:pPr>
            <w:r w:rsidRPr="00177C10">
              <w:rPr>
                <w:sz w:val="18"/>
                <w:szCs w:val="18"/>
              </w:rPr>
              <w:t>No. Staff indicated that projects are selected by staff and recommended/approved by the standing Transportation and Air Quality Committee and Transportation Coordinating Committee</w:t>
            </w:r>
          </w:p>
          <w:p w:rsidR="00496604" w:rsidRPr="00177C10" w:rsidRDefault="00496604" w:rsidP="00AC3AB8">
            <w:pPr>
              <w:ind w:left="0" w:firstLine="0"/>
              <w:rPr>
                <w:sz w:val="18"/>
                <w:szCs w:val="18"/>
              </w:rPr>
            </w:pPr>
          </w:p>
        </w:tc>
        <w:tc>
          <w:tcPr>
            <w:tcW w:w="641" w:type="pct"/>
          </w:tcPr>
          <w:p w:rsidR="00496604" w:rsidRPr="00177C10" w:rsidRDefault="00496604" w:rsidP="0035733C">
            <w:pPr>
              <w:ind w:left="0" w:firstLine="0"/>
              <w:rPr>
                <w:sz w:val="18"/>
                <w:szCs w:val="18"/>
              </w:rPr>
            </w:pPr>
            <w:r w:rsidRPr="00177C10">
              <w:rPr>
                <w:sz w:val="18"/>
                <w:szCs w:val="18"/>
              </w:rPr>
              <w:t xml:space="preserve">Suburban councils differ in their selection methods. Regional and CMAQ funds do not have a special committee; they are selected through the CMAP Transportation Committee </w:t>
            </w:r>
          </w:p>
        </w:tc>
        <w:tc>
          <w:tcPr>
            <w:tcW w:w="553" w:type="pct"/>
          </w:tcPr>
          <w:p w:rsidR="00496604" w:rsidRPr="00177C10" w:rsidRDefault="00496604" w:rsidP="0035733C">
            <w:pPr>
              <w:ind w:left="0" w:firstLine="0"/>
              <w:rPr>
                <w:sz w:val="18"/>
                <w:szCs w:val="18"/>
              </w:rPr>
            </w:pPr>
            <w:r w:rsidRPr="00177C10">
              <w:rPr>
                <w:sz w:val="18"/>
                <w:szCs w:val="18"/>
              </w:rPr>
              <w:t xml:space="preserve">No. Projects selected by each state’s technical committee </w:t>
            </w:r>
          </w:p>
        </w:tc>
        <w:tc>
          <w:tcPr>
            <w:tcW w:w="476" w:type="pct"/>
          </w:tcPr>
          <w:p w:rsidR="00496604" w:rsidRPr="00177C10" w:rsidRDefault="00496604" w:rsidP="0035733C">
            <w:pPr>
              <w:ind w:left="0" w:firstLine="0"/>
              <w:rPr>
                <w:sz w:val="18"/>
                <w:szCs w:val="18"/>
              </w:rPr>
            </w:pPr>
            <w:r w:rsidRPr="00177C10">
              <w:rPr>
                <w:sz w:val="18"/>
                <w:szCs w:val="18"/>
              </w:rPr>
              <w:t xml:space="preserve">Reviewed by TAC Funding and Programming Committee </w:t>
            </w:r>
          </w:p>
        </w:tc>
        <w:tc>
          <w:tcPr>
            <w:tcW w:w="491" w:type="pct"/>
          </w:tcPr>
          <w:p w:rsidR="00496604" w:rsidRPr="00177C10" w:rsidRDefault="00496604" w:rsidP="0035733C">
            <w:pPr>
              <w:ind w:left="0" w:firstLine="0"/>
              <w:rPr>
                <w:sz w:val="18"/>
                <w:szCs w:val="18"/>
              </w:rPr>
            </w:pPr>
            <w:r w:rsidRPr="00177C10">
              <w:rPr>
                <w:sz w:val="18"/>
                <w:szCs w:val="18"/>
              </w:rPr>
              <w:t>Yes. Each funding type has a subcommittee tasked with identifying selection criteria and a further work group tasked with project selection</w:t>
            </w:r>
          </w:p>
        </w:tc>
        <w:tc>
          <w:tcPr>
            <w:tcW w:w="501" w:type="pct"/>
          </w:tcPr>
          <w:p w:rsidR="00496604" w:rsidRPr="00177C10" w:rsidRDefault="00496604" w:rsidP="008B3EDD">
            <w:pPr>
              <w:ind w:left="0" w:firstLine="0"/>
              <w:rPr>
                <w:sz w:val="18"/>
                <w:szCs w:val="18"/>
              </w:rPr>
            </w:pPr>
            <w:r w:rsidRPr="00177C10">
              <w:rPr>
                <w:sz w:val="18"/>
                <w:szCs w:val="18"/>
              </w:rPr>
              <w:t>Projects scored by staff and primary recommendations made by Attributable Funds Committee</w:t>
            </w:r>
          </w:p>
          <w:p w:rsidR="00496604" w:rsidRPr="00177C10" w:rsidRDefault="00496604" w:rsidP="00D52381">
            <w:pPr>
              <w:ind w:left="180" w:firstLine="0"/>
              <w:rPr>
                <w:sz w:val="18"/>
                <w:szCs w:val="18"/>
              </w:rPr>
            </w:pPr>
          </w:p>
        </w:tc>
        <w:tc>
          <w:tcPr>
            <w:tcW w:w="529" w:type="pct"/>
          </w:tcPr>
          <w:p w:rsidR="00496604" w:rsidRPr="00177C10" w:rsidRDefault="00496604" w:rsidP="0035733C">
            <w:pPr>
              <w:ind w:left="0" w:firstLine="0"/>
              <w:rPr>
                <w:sz w:val="18"/>
                <w:szCs w:val="18"/>
              </w:rPr>
            </w:pPr>
            <w:r w:rsidRPr="00177C10">
              <w:rPr>
                <w:sz w:val="18"/>
                <w:szCs w:val="18"/>
              </w:rPr>
              <w:t>No. The Transportation Program Technical Group is a standing committee</w:t>
            </w:r>
          </w:p>
        </w:tc>
        <w:tc>
          <w:tcPr>
            <w:tcW w:w="597" w:type="pct"/>
          </w:tcPr>
          <w:p w:rsidR="00496604" w:rsidRPr="00177C10" w:rsidRDefault="00496604" w:rsidP="0035733C">
            <w:pPr>
              <w:ind w:left="0" w:firstLine="0"/>
              <w:rPr>
                <w:sz w:val="18"/>
                <w:szCs w:val="18"/>
              </w:rPr>
            </w:pPr>
            <w:r w:rsidRPr="00177C10">
              <w:rPr>
                <w:sz w:val="18"/>
                <w:szCs w:val="18"/>
              </w:rPr>
              <w:t>RPEC and Counties recommend projects to Transportation Policy Board which makes overall recommendation to PRSC’s Executive Board</w:t>
            </w:r>
          </w:p>
        </w:tc>
      </w:tr>
      <w:tr w:rsidR="002374AE" w:rsidRPr="00177C10" w:rsidTr="001F6656">
        <w:trPr>
          <w:trHeight w:val="3157"/>
        </w:trPr>
        <w:tc>
          <w:tcPr>
            <w:tcW w:w="283" w:type="pct"/>
          </w:tcPr>
          <w:p w:rsidR="00496604" w:rsidRPr="00177C10" w:rsidRDefault="00496604" w:rsidP="00D52381">
            <w:pPr>
              <w:ind w:left="180" w:firstLine="0"/>
              <w:rPr>
                <w:b/>
                <w:sz w:val="18"/>
                <w:szCs w:val="18"/>
              </w:rPr>
            </w:pPr>
            <w:r>
              <w:rPr>
                <w:b/>
                <w:sz w:val="18"/>
                <w:szCs w:val="18"/>
              </w:rPr>
              <w:t>5</w:t>
            </w:r>
            <w:r w:rsidRPr="00177C10">
              <w:rPr>
                <w:b/>
                <w:sz w:val="18"/>
                <w:szCs w:val="18"/>
              </w:rPr>
              <w:t xml:space="preserve">.  </w:t>
            </w:r>
          </w:p>
          <w:p w:rsidR="00496604" w:rsidRPr="00177C10" w:rsidRDefault="00496604" w:rsidP="00D52381">
            <w:pPr>
              <w:ind w:left="180" w:firstLine="0"/>
              <w:rPr>
                <w:b/>
                <w:sz w:val="18"/>
                <w:szCs w:val="18"/>
              </w:rPr>
            </w:pPr>
            <w:r w:rsidRPr="00177C10">
              <w:rPr>
                <w:b/>
                <w:sz w:val="18"/>
                <w:szCs w:val="18"/>
              </w:rPr>
              <w:t>Project Selection Based Purely on Points?</w:t>
            </w:r>
          </w:p>
        </w:tc>
        <w:tc>
          <w:tcPr>
            <w:tcW w:w="239" w:type="pct"/>
            <w:shd w:val="clear" w:color="auto" w:fill="D9D9D9" w:themeFill="background1" w:themeFillShade="D9"/>
          </w:tcPr>
          <w:p w:rsidR="00496604" w:rsidRPr="00177C10" w:rsidRDefault="00496604" w:rsidP="00AC3AB8">
            <w:pPr>
              <w:ind w:left="0" w:firstLine="0"/>
              <w:rPr>
                <w:sz w:val="18"/>
                <w:szCs w:val="18"/>
              </w:rPr>
            </w:pPr>
            <w:r>
              <w:rPr>
                <w:sz w:val="18"/>
                <w:szCs w:val="18"/>
              </w:rPr>
              <w:t>No</w:t>
            </w:r>
          </w:p>
        </w:tc>
        <w:tc>
          <w:tcPr>
            <w:tcW w:w="690" w:type="pct"/>
          </w:tcPr>
          <w:p w:rsidR="00496604" w:rsidRPr="00177C10" w:rsidRDefault="00496604" w:rsidP="00AC3AB8">
            <w:pPr>
              <w:ind w:left="0" w:firstLine="0"/>
              <w:rPr>
                <w:sz w:val="18"/>
                <w:szCs w:val="18"/>
              </w:rPr>
            </w:pPr>
            <w:r w:rsidRPr="00177C10">
              <w:rPr>
                <w:sz w:val="18"/>
                <w:szCs w:val="18"/>
              </w:rPr>
              <w:t>Very subjective ranking; points used as one factor in decision making process</w:t>
            </w:r>
          </w:p>
          <w:p w:rsidR="00496604" w:rsidRPr="00177C10" w:rsidRDefault="00496604" w:rsidP="00AC3AB8">
            <w:pPr>
              <w:ind w:left="0" w:firstLine="0"/>
              <w:rPr>
                <w:sz w:val="18"/>
                <w:szCs w:val="18"/>
              </w:rPr>
            </w:pPr>
          </w:p>
        </w:tc>
        <w:tc>
          <w:tcPr>
            <w:tcW w:w="641" w:type="pct"/>
          </w:tcPr>
          <w:p w:rsidR="00496604" w:rsidRPr="00177C10" w:rsidRDefault="00496604" w:rsidP="008B3EDD">
            <w:pPr>
              <w:ind w:left="0" w:firstLine="0"/>
              <w:rPr>
                <w:sz w:val="18"/>
                <w:szCs w:val="18"/>
              </w:rPr>
            </w:pPr>
            <w:r w:rsidRPr="00177C10">
              <w:rPr>
                <w:sz w:val="18"/>
                <w:szCs w:val="18"/>
              </w:rPr>
              <w:t>For CMAQ: projects selected based on AQ cost benefit ranking</w:t>
            </w:r>
          </w:p>
          <w:p w:rsidR="00496604" w:rsidRPr="00177C10" w:rsidRDefault="00496604" w:rsidP="008B3EDD">
            <w:pPr>
              <w:ind w:left="180" w:firstLine="0"/>
              <w:rPr>
                <w:sz w:val="18"/>
                <w:szCs w:val="18"/>
              </w:rPr>
            </w:pPr>
          </w:p>
        </w:tc>
        <w:tc>
          <w:tcPr>
            <w:tcW w:w="553" w:type="pct"/>
          </w:tcPr>
          <w:p w:rsidR="00496604" w:rsidRPr="00177C10" w:rsidRDefault="00496604" w:rsidP="008B3EDD">
            <w:pPr>
              <w:ind w:left="0" w:firstLine="0"/>
              <w:rPr>
                <w:sz w:val="18"/>
                <w:szCs w:val="18"/>
              </w:rPr>
            </w:pPr>
            <w:r w:rsidRPr="00177C10">
              <w:rPr>
                <w:sz w:val="18"/>
                <w:szCs w:val="18"/>
              </w:rPr>
              <w:t>Decision making process includes points, but other considerations, too such as need, cost-effectiveness, etc</w:t>
            </w:r>
          </w:p>
          <w:p w:rsidR="00496604" w:rsidRPr="00177C10" w:rsidRDefault="00496604" w:rsidP="00D52381">
            <w:pPr>
              <w:ind w:left="180" w:firstLine="0"/>
              <w:rPr>
                <w:sz w:val="18"/>
                <w:szCs w:val="18"/>
              </w:rPr>
            </w:pPr>
          </w:p>
        </w:tc>
        <w:tc>
          <w:tcPr>
            <w:tcW w:w="476" w:type="pct"/>
          </w:tcPr>
          <w:p w:rsidR="00496604" w:rsidRPr="00177C10" w:rsidRDefault="00496604" w:rsidP="008B3EDD">
            <w:pPr>
              <w:ind w:left="0" w:firstLine="0"/>
              <w:rPr>
                <w:sz w:val="18"/>
                <w:szCs w:val="18"/>
              </w:rPr>
            </w:pPr>
            <w:r w:rsidRPr="00177C10">
              <w:rPr>
                <w:sz w:val="18"/>
                <w:szCs w:val="18"/>
              </w:rPr>
              <w:t>Projects selected by score within project types; politics comes in to play when deciding project type funding targets</w:t>
            </w:r>
          </w:p>
          <w:p w:rsidR="00496604" w:rsidRPr="00177C10" w:rsidRDefault="00496604" w:rsidP="00D52381">
            <w:pPr>
              <w:ind w:left="180" w:firstLine="0"/>
              <w:rPr>
                <w:sz w:val="18"/>
                <w:szCs w:val="18"/>
              </w:rPr>
            </w:pPr>
          </w:p>
        </w:tc>
        <w:tc>
          <w:tcPr>
            <w:tcW w:w="491" w:type="pct"/>
          </w:tcPr>
          <w:p w:rsidR="00496604" w:rsidRPr="00177C10" w:rsidRDefault="00496604" w:rsidP="008B3EDD">
            <w:pPr>
              <w:ind w:left="0" w:firstLine="0"/>
              <w:rPr>
                <w:sz w:val="18"/>
                <w:szCs w:val="18"/>
              </w:rPr>
            </w:pPr>
            <w:r w:rsidRPr="00177C10">
              <w:rPr>
                <w:sz w:val="18"/>
                <w:szCs w:val="18"/>
              </w:rPr>
              <w:t>Projects are scored by work group (CMAQ) or staff (STP) and ranking achieved by the subcommittee using scores, ”relevant project information and committee discretion”</w:t>
            </w:r>
          </w:p>
          <w:p w:rsidR="00496604" w:rsidRPr="00177C10" w:rsidRDefault="00496604" w:rsidP="00D52381">
            <w:pPr>
              <w:ind w:left="180" w:firstLine="0"/>
              <w:rPr>
                <w:sz w:val="18"/>
                <w:szCs w:val="18"/>
              </w:rPr>
            </w:pPr>
          </w:p>
        </w:tc>
        <w:tc>
          <w:tcPr>
            <w:tcW w:w="501" w:type="pct"/>
          </w:tcPr>
          <w:p w:rsidR="00496604" w:rsidRPr="00177C10" w:rsidRDefault="00496604" w:rsidP="008B3EDD">
            <w:pPr>
              <w:ind w:left="0" w:firstLine="0"/>
              <w:rPr>
                <w:sz w:val="18"/>
                <w:szCs w:val="18"/>
              </w:rPr>
            </w:pPr>
            <w:r w:rsidRPr="00177C10">
              <w:rPr>
                <w:sz w:val="18"/>
                <w:szCs w:val="18"/>
              </w:rPr>
              <w:t>Points used to guide decision making, with other considerations; however, staff indicated that the top scoring projects pretty much always get funded and the bottom ones almost never do</w:t>
            </w:r>
          </w:p>
          <w:p w:rsidR="00496604" w:rsidRPr="00177C10" w:rsidRDefault="00496604" w:rsidP="00D52381">
            <w:pPr>
              <w:ind w:left="180" w:firstLine="0"/>
              <w:rPr>
                <w:sz w:val="18"/>
                <w:szCs w:val="18"/>
              </w:rPr>
            </w:pPr>
          </w:p>
        </w:tc>
        <w:tc>
          <w:tcPr>
            <w:tcW w:w="529" w:type="pct"/>
          </w:tcPr>
          <w:p w:rsidR="00496604" w:rsidRPr="00177C10" w:rsidRDefault="00496604" w:rsidP="0035733C">
            <w:pPr>
              <w:ind w:left="0" w:firstLine="0"/>
              <w:rPr>
                <w:sz w:val="18"/>
                <w:szCs w:val="18"/>
              </w:rPr>
            </w:pPr>
            <w:r w:rsidRPr="00177C10">
              <w:rPr>
                <w:sz w:val="18"/>
                <w:szCs w:val="18"/>
              </w:rPr>
              <w:t>No. Transportation Program Technical Group reviews submitted projects based on subjective ‘qualitative information’ such as the project’s significance to the region; the local community; private sector involvement; land use; environmental justice and minority communities; and other pertinent information; as well as objective technical assessment score</w:t>
            </w:r>
          </w:p>
        </w:tc>
        <w:tc>
          <w:tcPr>
            <w:tcW w:w="597" w:type="pct"/>
          </w:tcPr>
          <w:p w:rsidR="00496604" w:rsidRPr="00177C10" w:rsidRDefault="00496604" w:rsidP="008B3EDD">
            <w:pPr>
              <w:ind w:left="0" w:firstLine="0"/>
              <w:rPr>
                <w:sz w:val="18"/>
                <w:szCs w:val="18"/>
              </w:rPr>
            </w:pPr>
            <w:r w:rsidRPr="00177C10">
              <w:rPr>
                <w:sz w:val="18"/>
                <w:szCs w:val="18"/>
              </w:rPr>
              <w:t>No. Regional solicitation includes staff scoring of project as well as other factors</w:t>
            </w:r>
          </w:p>
          <w:p w:rsidR="00496604" w:rsidRPr="00177C10" w:rsidRDefault="00496604" w:rsidP="00D52381">
            <w:pPr>
              <w:ind w:left="180" w:firstLine="0"/>
              <w:rPr>
                <w:sz w:val="18"/>
                <w:szCs w:val="18"/>
              </w:rPr>
            </w:pPr>
          </w:p>
        </w:tc>
      </w:tr>
      <w:tr w:rsidR="002374AE" w:rsidRPr="00177C10" w:rsidTr="001F6656">
        <w:trPr>
          <w:trHeight w:val="536"/>
        </w:trPr>
        <w:tc>
          <w:tcPr>
            <w:tcW w:w="283" w:type="pct"/>
          </w:tcPr>
          <w:p w:rsidR="00496604" w:rsidRPr="00177C10" w:rsidRDefault="00496604" w:rsidP="00D52381">
            <w:pPr>
              <w:ind w:left="180" w:firstLine="0"/>
              <w:rPr>
                <w:b/>
                <w:sz w:val="18"/>
                <w:szCs w:val="18"/>
              </w:rPr>
            </w:pPr>
            <w:r>
              <w:rPr>
                <w:b/>
                <w:sz w:val="18"/>
                <w:szCs w:val="18"/>
              </w:rPr>
              <w:t>6</w:t>
            </w:r>
            <w:r w:rsidRPr="00177C10">
              <w:rPr>
                <w:b/>
                <w:sz w:val="18"/>
                <w:szCs w:val="18"/>
              </w:rPr>
              <w:t xml:space="preserve">.  </w:t>
            </w:r>
          </w:p>
          <w:p w:rsidR="00496604" w:rsidRPr="00177C10" w:rsidRDefault="00496604" w:rsidP="00D52381">
            <w:pPr>
              <w:ind w:left="180" w:firstLine="0"/>
              <w:rPr>
                <w:b/>
                <w:sz w:val="18"/>
                <w:szCs w:val="18"/>
              </w:rPr>
            </w:pPr>
            <w:r w:rsidRPr="00177C10">
              <w:rPr>
                <w:b/>
                <w:sz w:val="18"/>
                <w:szCs w:val="18"/>
              </w:rPr>
              <w:t>Engineering Rigor in Application</w:t>
            </w:r>
          </w:p>
        </w:tc>
        <w:tc>
          <w:tcPr>
            <w:tcW w:w="239" w:type="pct"/>
            <w:shd w:val="clear" w:color="auto" w:fill="D9D9D9" w:themeFill="background1" w:themeFillShade="D9"/>
          </w:tcPr>
          <w:p w:rsidR="00496604" w:rsidRPr="00177C10" w:rsidRDefault="00496604" w:rsidP="00AC3AB8">
            <w:pPr>
              <w:ind w:left="0" w:firstLine="0"/>
              <w:rPr>
                <w:sz w:val="18"/>
                <w:szCs w:val="18"/>
              </w:rPr>
            </w:pPr>
            <w:r>
              <w:rPr>
                <w:sz w:val="18"/>
                <w:szCs w:val="18"/>
              </w:rPr>
              <w:t>Yes</w:t>
            </w:r>
          </w:p>
        </w:tc>
        <w:tc>
          <w:tcPr>
            <w:tcW w:w="690" w:type="pct"/>
          </w:tcPr>
          <w:p w:rsidR="00496604" w:rsidRPr="00177C10" w:rsidRDefault="00496604" w:rsidP="00AC3AB8">
            <w:pPr>
              <w:ind w:left="0" w:firstLine="0"/>
              <w:rPr>
                <w:i/>
                <w:sz w:val="18"/>
                <w:szCs w:val="18"/>
              </w:rPr>
            </w:pPr>
            <w:r w:rsidRPr="00177C10">
              <w:rPr>
                <w:sz w:val="18"/>
                <w:szCs w:val="18"/>
              </w:rPr>
              <w:t xml:space="preserve">No </w:t>
            </w:r>
          </w:p>
          <w:p w:rsidR="00496604" w:rsidRPr="00177C10" w:rsidRDefault="00496604" w:rsidP="00AC3AB8">
            <w:pPr>
              <w:ind w:left="0" w:firstLine="0"/>
              <w:rPr>
                <w:sz w:val="18"/>
                <w:szCs w:val="18"/>
              </w:rPr>
            </w:pPr>
          </w:p>
        </w:tc>
        <w:tc>
          <w:tcPr>
            <w:tcW w:w="641" w:type="pct"/>
          </w:tcPr>
          <w:p w:rsidR="00496604" w:rsidRPr="00177C10" w:rsidRDefault="00496604" w:rsidP="008B3EDD">
            <w:pPr>
              <w:ind w:left="0" w:firstLine="0"/>
              <w:rPr>
                <w:sz w:val="18"/>
                <w:szCs w:val="18"/>
              </w:rPr>
            </w:pPr>
            <w:r w:rsidRPr="00177C10">
              <w:rPr>
                <w:sz w:val="18"/>
                <w:szCs w:val="18"/>
              </w:rPr>
              <w:t>For CMAQ: yes</w:t>
            </w:r>
          </w:p>
          <w:p w:rsidR="00496604" w:rsidRPr="00177C10" w:rsidRDefault="00496604" w:rsidP="008B3EDD">
            <w:pPr>
              <w:ind w:left="180" w:firstLine="0"/>
              <w:rPr>
                <w:sz w:val="18"/>
                <w:szCs w:val="18"/>
              </w:rPr>
            </w:pPr>
          </w:p>
        </w:tc>
        <w:tc>
          <w:tcPr>
            <w:tcW w:w="553" w:type="pct"/>
          </w:tcPr>
          <w:p w:rsidR="00496604" w:rsidRPr="00177C10" w:rsidRDefault="00496604" w:rsidP="008B3EDD">
            <w:pPr>
              <w:ind w:left="0" w:firstLine="0"/>
              <w:rPr>
                <w:sz w:val="18"/>
                <w:szCs w:val="18"/>
              </w:rPr>
            </w:pPr>
            <w:r w:rsidRPr="00177C10">
              <w:rPr>
                <w:sz w:val="18"/>
                <w:szCs w:val="18"/>
              </w:rPr>
              <w:t>Yes</w:t>
            </w:r>
          </w:p>
          <w:p w:rsidR="00496604" w:rsidRPr="00177C10" w:rsidRDefault="00496604" w:rsidP="00D52381">
            <w:pPr>
              <w:ind w:left="180" w:firstLine="0"/>
              <w:rPr>
                <w:sz w:val="18"/>
                <w:szCs w:val="18"/>
              </w:rPr>
            </w:pPr>
          </w:p>
        </w:tc>
        <w:tc>
          <w:tcPr>
            <w:tcW w:w="476" w:type="pct"/>
          </w:tcPr>
          <w:p w:rsidR="00496604" w:rsidRPr="00177C10" w:rsidRDefault="00496604" w:rsidP="008B3EDD">
            <w:pPr>
              <w:ind w:left="0" w:firstLine="0"/>
              <w:rPr>
                <w:sz w:val="18"/>
                <w:szCs w:val="18"/>
              </w:rPr>
            </w:pPr>
            <w:r w:rsidRPr="00177C10">
              <w:rPr>
                <w:sz w:val="18"/>
                <w:szCs w:val="18"/>
              </w:rPr>
              <w:t>Staff recommends that application is completed by engineering staff or consultant with PE capabilities</w:t>
            </w:r>
          </w:p>
          <w:p w:rsidR="00496604" w:rsidRPr="00177C10" w:rsidRDefault="00496604" w:rsidP="00D52381">
            <w:pPr>
              <w:ind w:left="180" w:firstLine="0"/>
              <w:rPr>
                <w:sz w:val="18"/>
                <w:szCs w:val="18"/>
              </w:rPr>
            </w:pPr>
          </w:p>
        </w:tc>
        <w:tc>
          <w:tcPr>
            <w:tcW w:w="491" w:type="pct"/>
          </w:tcPr>
          <w:p w:rsidR="00496604" w:rsidRPr="00177C10" w:rsidRDefault="00496604" w:rsidP="008B3EDD">
            <w:pPr>
              <w:ind w:left="0" w:firstLine="0"/>
              <w:rPr>
                <w:sz w:val="18"/>
                <w:szCs w:val="18"/>
              </w:rPr>
            </w:pPr>
            <w:r w:rsidRPr="00177C10">
              <w:rPr>
                <w:sz w:val="18"/>
                <w:szCs w:val="18"/>
              </w:rPr>
              <w:t>No</w:t>
            </w:r>
          </w:p>
          <w:p w:rsidR="00496604" w:rsidRPr="00177C10" w:rsidRDefault="00496604" w:rsidP="00D52381">
            <w:pPr>
              <w:ind w:left="180" w:firstLine="0"/>
              <w:rPr>
                <w:sz w:val="18"/>
                <w:szCs w:val="18"/>
              </w:rPr>
            </w:pPr>
          </w:p>
        </w:tc>
        <w:tc>
          <w:tcPr>
            <w:tcW w:w="501" w:type="pct"/>
          </w:tcPr>
          <w:p w:rsidR="00496604" w:rsidRPr="00177C10" w:rsidRDefault="00496604" w:rsidP="008B3EDD">
            <w:pPr>
              <w:ind w:left="180" w:firstLine="0"/>
              <w:rPr>
                <w:sz w:val="18"/>
                <w:szCs w:val="18"/>
              </w:rPr>
            </w:pPr>
            <w:r w:rsidRPr="00177C10">
              <w:rPr>
                <w:sz w:val="18"/>
                <w:szCs w:val="18"/>
              </w:rPr>
              <w:t>Yes</w:t>
            </w:r>
          </w:p>
        </w:tc>
        <w:tc>
          <w:tcPr>
            <w:tcW w:w="529" w:type="pct"/>
          </w:tcPr>
          <w:p w:rsidR="00496604" w:rsidRPr="00177C10" w:rsidRDefault="00496604" w:rsidP="008B3EDD">
            <w:pPr>
              <w:ind w:left="0" w:firstLine="0"/>
              <w:rPr>
                <w:sz w:val="18"/>
                <w:szCs w:val="18"/>
              </w:rPr>
            </w:pPr>
            <w:r w:rsidRPr="00177C10">
              <w:rPr>
                <w:sz w:val="18"/>
                <w:szCs w:val="18"/>
              </w:rPr>
              <w:t>Yes</w:t>
            </w:r>
          </w:p>
          <w:p w:rsidR="00496604" w:rsidRPr="00177C10" w:rsidRDefault="00496604" w:rsidP="00D52381">
            <w:pPr>
              <w:ind w:left="180" w:firstLine="0"/>
              <w:rPr>
                <w:sz w:val="18"/>
                <w:szCs w:val="18"/>
              </w:rPr>
            </w:pPr>
          </w:p>
        </w:tc>
        <w:tc>
          <w:tcPr>
            <w:tcW w:w="597" w:type="pct"/>
          </w:tcPr>
          <w:p w:rsidR="00496604" w:rsidRPr="00177C10" w:rsidRDefault="00496604" w:rsidP="008C5D20">
            <w:pPr>
              <w:ind w:left="0" w:firstLine="0"/>
              <w:rPr>
                <w:sz w:val="18"/>
                <w:szCs w:val="18"/>
              </w:rPr>
            </w:pPr>
            <w:r w:rsidRPr="00177C10">
              <w:rPr>
                <w:sz w:val="18"/>
                <w:szCs w:val="18"/>
              </w:rPr>
              <w:t>Point criteria for the regional call for projects do not appear to rely heavily on engineering methodologies (except, possibly, the air quality and climate change points which look at reductions in SOV, VMT, etc). Points awarded low, medium, high and applicants are asked to describe how their projects fulfill functions</w:t>
            </w:r>
          </w:p>
        </w:tc>
      </w:tr>
      <w:tr w:rsidR="002374AE" w:rsidRPr="00177C10" w:rsidTr="001F6656">
        <w:trPr>
          <w:trHeight w:val="1983"/>
        </w:trPr>
        <w:tc>
          <w:tcPr>
            <w:tcW w:w="283" w:type="pct"/>
          </w:tcPr>
          <w:p w:rsidR="00496604" w:rsidRPr="00177C10" w:rsidRDefault="00496604" w:rsidP="00D52381">
            <w:pPr>
              <w:ind w:left="180" w:firstLine="0"/>
              <w:rPr>
                <w:b/>
                <w:sz w:val="18"/>
                <w:szCs w:val="18"/>
              </w:rPr>
            </w:pPr>
            <w:r>
              <w:rPr>
                <w:b/>
                <w:sz w:val="18"/>
                <w:szCs w:val="18"/>
              </w:rPr>
              <w:t>7</w:t>
            </w:r>
            <w:r w:rsidRPr="00177C10">
              <w:rPr>
                <w:b/>
                <w:sz w:val="18"/>
                <w:szCs w:val="18"/>
              </w:rPr>
              <w:t xml:space="preserve">.  </w:t>
            </w:r>
          </w:p>
          <w:p w:rsidR="00496604" w:rsidRPr="00177C10" w:rsidRDefault="00496604" w:rsidP="00D52381">
            <w:pPr>
              <w:ind w:left="180" w:firstLine="0"/>
              <w:rPr>
                <w:b/>
                <w:sz w:val="18"/>
                <w:szCs w:val="18"/>
              </w:rPr>
            </w:pPr>
            <w:r w:rsidRPr="00177C10">
              <w:rPr>
                <w:b/>
                <w:sz w:val="18"/>
                <w:szCs w:val="18"/>
              </w:rPr>
              <w:t>Solicit by Project Type or Funding Type?</w:t>
            </w:r>
          </w:p>
        </w:tc>
        <w:tc>
          <w:tcPr>
            <w:tcW w:w="239" w:type="pct"/>
            <w:shd w:val="clear" w:color="auto" w:fill="D9D9D9" w:themeFill="background1" w:themeFillShade="D9"/>
          </w:tcPr>
          <w:p w:rsidR="00496604" w:rsidRPr="00177C10" w:rsidRDefault="00496604" w:rsidP="00AC3AB8">
            <w:pPr>
              <w:ind w:left="0" w:firstLine="0"/>
              <w:rPr>
                <w:sz w:val="18"/>
                <w:szCs w:val="18"/>
              </w:rPr>
            </w:pPr>
            <w:r>
              <w:rPr>
                <w:sz w:val="18"/>
                <w:szCs w:val="18"/>
              </w:rPr>
              <w:t>Project</w:t>
            </w:r>
          </w:p>
        </w:tc>
        <w:tc>
          <w:tcPr>
            <w:tcW w:w="690" w:type="pct"/>
          </w:tcPr>
          <w:p w:rsidR="00496604" w:rsidRPr="00177C10" w:rsidRDefault="00496604" w:rsidP="00AC3AB8">
            <w:pPr>
              <w:ind w:left="0" w:firstLine="0"/>
              <w:rPr>
                <w:sz w:val="18"/>
                <w:szCs w:val="18"/>
              </w:rPr>
            </w:pPr>
            <w:r w:rsidRPr="00177C10">
              <w:rPr>
                <w:sz w:val="18"/>
                <w:szCs w:val="18"/>
              </w:rPr>
              <w:t>Funding type; CMAQ and STP-M calls usually separate</w:t>
            </w:r>
          </w:p>
          <w:p w:rsidR="00496604" w:rsidRPr="00177C10" w:rsidRDefault="00496604" w:rsidP="00AC3AB8">
            <w:pPr>
              <w:ind w:left="0" w:firstLine="0"/>
              <w:rPr>
                <w:sz w:val="18"/>
                <w:szCs w:val="18"/>
              </w:rPr>
            </w:pPr>
          </w:p>
        </w:tc>
        <w:tc>
          <w:tcPr>
            <w:tcW w:w="641" w:type="pct"/>
          </w:tcPr>
          <w:p w:rsidR="00496604" w:rsidRPr="00177C10" w:rsidRDefault="00496604" w:rsidP="008B3EDD">
            <w:pPr>
              <w:ind w:left="0" w:firstLine="0"/>
              <w:rPr>
                <w:sz w:val="18"/>
                <w:szCs w:val="18"/>
              </w:rPr>
            </w:pPr>
            <w:r w:rsidRPr="00177C10">
              <w:rPr>
                <w:sz w:val="18"/>
                <w:szCs w:val="18"/>
              </w:rPr>
              <w:t>Funding type</w:t>
            </w:r>
          </w:p>
          <w:p w:rsidR="00496604" w:rsidRPr="00177C10" w:rsidRDefault="00496604" w:rsidP="00D52381">
            <w:pPr>
              <w:ind w:left="180" w:firstLine="0"/>
              <w:rPr>
                <w:sz w:val="18"/>
                <w:szCs w:val="18"/>
              </w:rPr>
            </w:pPr>
          </w:p>
        </w:tc>
        <w:tc>
          <w:tcPr>
            <w:tcW w:w="553" w:type="pct"/>
          </w:tcPr>
          <w:p w:rsidR="00496604" w:rsidRPr="00177C10" w:rsidRDefault="00496604" w:rsidP="008B3EDD">
            <w:pPr>
              <w:ind w:left="0" w:firstLine="0"/>
              <w:rPr>
                <w:sz w:val="18"/>
                <w:szCs w:val="18"/>
              </w:rPr>
            </w:pPr>
            <w:r w:rsidRPr="00177C10">
              <w:rPr>
                <w:sz w:val="18"/>
                <w:szCs w:val="18"/>
              </w:rPr>
              <w:t>Funding type</w:t>
            </w:r>
          </w:p>
          <w:p w:rsidR="00496604" w:rsidRPr="00177C10" w:rsidRDefault="00496604" w:rsidP="00D52381">
            <w:pPr>
              <w:ind w:left="180" w:firstLine="0"/>
              <w:rPr>
                <w:sz w:val="18"/>
                <w:szCs w:val="18"/>
              </w:rPr>
            </w:pPr>
          </w:p>
        </w:tc>
        <w:tc>
          <w:tcPr>
            <w:tcW w:w="476" w:type="pct"/>
          </w:tcPr>
          <w:p w:rsidR="00496604" w:rsidRPr="00177C10" w:rsidRDefault="00496604" w:rsidP="00885F52">
            <w:pPr>
              <w:numPr>
                <w:ilvl w:val="0"/>
                <w:numId w:val="5"/>
              </w:numPr>
              <w:rPr>
                <w:sz w:val="18"/>
                <w:szCs w:val="18"/>
              </w:rPr>
            </w:pPr>
            <w:r w:rsidRPr="00177C10">
              <w:rPr>
                <w:sz w:val="18"/>
                <w:szCs w:val="18"/>
              </w:rPr>
              <w:t>Project types</w:t>
            </w:r>
          </w:p>
          <w:p w:rsidR="00496604" w:rsidRPr="00177C10" w:rsidRDefault="00496604" w:rsidP="00D52381">
            <w:pPr>
              <w:ind w:left="180" w:firstLine="0"/>
              <w:rPr>
                <w:sz w:val="18"/>
                <w:szCs w:val="18"/>
              </w:rPr>
            </w:pPr>
          </w:p>
        </w:tc>
        <w:tc>
          <w:tcPr>
            <w:tcW w:w="491" w:type="pct"/>
          </w:tcPr>
          <w:p w:rsidR="00496604" w:rsidRPr="00177C10" w:rsidRDefault="00496604" w:rsidP="006E0412">
            <w:pPr>
              <w:ind w:left="0" w:firstLine="0"/>
              <w:rPr>
                <w:sz w:val="18"/>
                <w:szCs w:val="18"/>
              </w:rPr>
            </w:pPr>
            <w:r w:rsidRPr="00177C10">
              <w:rPr>
                <w:sz w:val="18"/>
                <w:szCs w:val="18"/>
              </w:rPr>
              <w:t>Projects solicited by funding type and further divided into project type subcategories (i.e., CMAQ projects could have been submitted as Alternative Fuels; Bike/</w:t>
            </w:r>
            <w:proofErr w:type="spellStart"/>
            <w:r w:rsidRPr="00177C10">
              <w:rPr>
                <w:sz w:val="18"/>
                <w:szCs w:val="18"/>
              </w:rPr>
              <w:t>Ped</w:t>
            </w:r>
            <w:proofErr w:type="spellEnd"/>
            <w:r w:rsidRPr="00177C10">
              <w:rPr>
                <w:sz w:val="18"/>
                <w:szCs w:val="18"/>
              </w:rPr>
              <w:t>; Public Transportation; Traffic Flow; Outreach and other; or Diesel Retrofit)</w:t>
            </w:r>
          </w:p>
        </w:tc>
        <w:tc>
          <w:tcPr>
            <w:tcW w:w="501" w:type="pct"/>
          </w:tcPr>
          <w:p w:rsidR="00496604" w:rsidRPr="00177C10" w:rsidRDefault="00496604" w:rsidP="008B3EDD">
            <w:pPr>
              <w:ind w:left="0" w:firstLine="0"/>
              <w:rPr>
                <w:sz w:val="18"/>
                <w:szCs w:val="18"/>
              </w:rPr>
            </w:pPr>
            <w:r w:rsidRPr="00177C10">
              <w:rPr>
                <w:sz w:val="18"/>
                <w:szCs w:val="18"/>
              </w:rPr>
              <w:t>Project type</w:t>
            </w:r>
          </w:p>
          <w:p w:rsidR="00496604" w:rsidRPr="00177C10" w:rsidRDefault="00496604" w:rsidP="00D52381">
            <w:pPr>
              <w:ind w:left="180" w:firstLine="0"/>
              <w:rPr>
                <w:sz w:val="18"/>
                <w:szCs w:val="18"/>
              </w:rPr>
            </w:pPr>
          </w:p>
        </w:tc>
        <w:tc>
          <w:tcPr>
            <w:tcW w:w="529" w:type="pct"/>
          </w:tcPr>
          <w:p w:rsidR="00496604" w:rsidRPr="00177C10" w:rsidRDefault="00496604" w:rsidP="008B3EDD">
            <w:pPr>
              <w:ind w:left="0" w:firstLine="0"/>
              <w:rPr>
                <w:sz w:val="18"/>
                <w:szCs w:val="18"/>
              </w:rPr>
            </w:pPr>
            <w:r w:rsidRPr="00177C10">
              <w:rPr>
                <w:sz w:val="18"/>
                <w:szCs w:val="18"/>
              </w:rPr>
              <w:t>Funding type</w:t>
            </w:r>
          </w:p>
          <w:p w:rsidR="00496604" w:rsidRPr="00177C10" w:rsidRDefault="00496604" w:rsidP="00D52381">
            <w:pPr>
              <w:ind w:left="180" w:firstLine="0"/>
              <w:rPr>
                <w:sz w:val="18"/>
                <w:szCs w:val="18"/>
              </w:rPr>
            </w:pPr>
          </w:p>
        </w:tc>
        <w:tc>
          <w:tcPr>
            <w:tcW w:w="597" w:type="pct"/>
          </w:tcPr>
          <w:p w:rsidR="00496604" w:rsidRPr="00177C10" w:rsidRDefault="00496604" w:rsidP="008B3EDD">
            <w:pPr>
              <w:ind w:left="0" w:firstLine="0"/>
              <w:rPr>
                <w:sz w:val="18"/>
                <w:szCs w:val="18"/>
              </w:rPr>
            </w:pPr>
            <w:r w:rsidRPr="00177C10">
              <w:rPr>
                <w:sz w:val="18"/>
                <w:szCs w:val="18"/>
              </w:rPr>
              <w:t>Funding type</w:t>
            </w:r>
          </w:p>
          <w:p w:rsidR="00496604" w:rsidRPr="00177C10" w:rsidRDefault="00496604" w:rsidP="00D52381">
            <w:pPr>
              <w:ind w:left="180" w:firstLine="0"/>
              <w:rPr>
                <w:sz w:val="18"/>
                <w:szCs w:val="18"/>
              </w:rPr>
            </w:pPr>
          </w:p>
        </w:tc>
      </w:tr>
      <w:tr w:rsidR="002374AE" w:rsidRPr="00177C10" w:rsidTr="001F6656">
        <w:trPr>
          <w:trHeight w:val="1100"/>
        </w:trPr>
        <w:tc>
          <w:tcPr>
            <w:tcW w:w="283" w:type="pct"/>
          </w:tcPr>
          <w:p w:rsidR="00496604" w:rsidRPr="00177C10" w:rsidRDefault="00496604" w:rsidP="00D52381">
            <w:pPr>
              <w:ind w:left="180" w:firstLine="0"/>
              <w:rPr>
                <w:b/>
                <w:sz w:val="18"/>
                <w:szCs w:val="18"/>
              </w:rPr>
            </w:pPr>
            <w:r>
              <w:rPr>
                <w:b/>
                <w:sz w:val="18"/>
                <w:szCs w:val="18"/>
              </w:rPr>
              <w:t>8</w:t>
            </w:r>
            <w:r w:rsidRPr="00177C10">
              <w:rPr>
                <w:b/>
                <w:sz w:val="18"/>
                <w:szCs w:val="18"/>
              </w:rPr>
              <w:t xml:space="preserve">.  </w:t>
            </w:r>
          </w:p>
          <w:p w:rsidR="00496604" w:rsidRPr="00177C10" w:rsidRDefault="00496604" w:rsidP="00D52381">
            <w:pPr>
              <w:ind w:left="180" w:firstLine="0"/>
              <w:rPr>
                <w:b/>
                <w:sz w:val="18"/>
                <w:szCs w:val="18"/>
              </w:rPr>
            </w:pPr>
            <w:r w:rsidRPr="00177C10">
              <w:rPr>
                <w:b/>
                <w:sz w:val="18"/>
                <w:szCs w:val="18"/>
              </w:rPr>
              <w:t>What Projects are in RTP before TIP?</w:t>
            </w:r>
          </w:p>
        </w:tc>
        <w:tc>
          <w:tcPr>
            <w:tcW w:w="239" w:type="pct"/>
            <w:shd w:val="clear" w:color="auto" w:fill="D9D9D9" w:themeFill="background1" w:themeFillShade="D9"/>
          </w:tcPr>
          <w:p w:rsidR="00496604" w:rsidRPr="00177C10" w:rsidRDefault="00496604" w:rsidP="00AC3AB8">
            <w:pPr>
              <w:ind w:left="0" w:firstLine="0"/>
              <w:rPr>
                <w:sz w:val="18"/>
                <w:szCs w:val="18"/>
              </w:rPr>
            </w:pPr>
            <w:r>
              <w:rPr>
                <w:sz w:val="18"/>
                <w:szCs w:val="18"/>
              </w:rPr>
              <w:t>Capacity</w:t>
            </w:r>
          </w:p>
        </w:tc>
        <w:tc>
          <w:tcPr>
            <w:tcW w:w="690" w:type="pct"/>
          </w:tcPr>
          <w:p w:rsidR="00496604" w:rsidRPr="00177C10" w:rsidRDefault="00496604" w:rsidP="00AC3AB8">
            <w:pPr>
              <w:ind w:left="0" w:firstLine="0"/>
              <w:rPr>
                <w:sz w:val="18"/>
                <w:szCs w:val="18"/>
              </w:rPr>
            </w:pPr>
            <w:r w:rsidRPr="00177C10">
              <w:rPr>
                <w:sz w:val="18"/>
                <w:szCs w:val="18"/>
              </w:rPr>
              <w:t>All projects in the TIP must be depicted in RTP</w:t>
            </w:r>
          </w:p>
          <w:p w:rsidR="00496604" w:rsidRPr="00177C10" w:rsidRDefault="00496604" w:rsidP="00AC3AB8">
            <w:pPr>
              <w:ind w:left="0" w:firstLine="0"/>
              <w:rPr>
                <w:sz w:val="18"/>
                <w:szCs w:val="18"/>
              </w:rPr>
            </w:pPr>
          </w:p>
        </w:tc>
        <w:tc>
          <w:tcPr>
            <w:tcW w:w="641" w:type="pct"/>
          </w:tcPr>
          <w:p w:rsidR="00496604" w:rsidRPr="00177C10" w:rsidRDefault="00496604" w:rsidP="006E0412">
            <w:pPr>
              <w:ind w:left="0" w:firstLine="0"/>
              <w:rPr>
                <w:sz w:val="18"/>
                <w:szCs w:val="18"/>
              </w:rPr>
            </w:pPr>
            <w:r w:rsidRPr="00177C10">
              <w:rPr>
                <w:sz w:val="18"/>
                <w:szCs w:val="18"/>
              </w:rPr>
              <w:t>Major capital projects in RTP are given a TIP ID in anticipation of programming</w:t>
            </w:r>
          </w:p>
        </w:tc>
        <w:tc>
          <w:tcPr>
            <w:tcW w:w="553" w:type="pct"/>
          </w:tcPr>
          <w:p w:rsidR="00496604" w:rsidRPr="00177C10" w:rsidRDefault="00496604" w:rsidP="008B3EDD">
            <w:pPr>
              <w:ind w:left="0" w:firstLine="0"/>
              <w:rPr>
                <w:sz w:val="18"/>
                <w:szCs w:val="18"/>
              </w:rPr>
            </w:pPr>
            <w:r w:rsidRPr="00177C10">
              <w:rPr>
                <w:sz w:val="18"/>
                <w:szCs w:val="18"/>
              </w:rPr>
              <w:t>Regionally significant projects</w:t>
            </w:r>
          </w:p>
          <w:p w:rsidR="00496604" w:rsidRPr="00177C10" w:rsidRDefault="00496604" w:rsidP="00D52381">
            <w:pPr>
              <w:ind w:left="180" w:firstLine="0"/>
              <w:rPr>
                <w:sz w:val="18"/>
                <w:szCs w:val="18"/>
              </w:rPr>
            </w:pPr>
          </w:p>
        </w:tc>
        <w:tc>
          <w:tcPr>
            <w:tcW w:w="476" w:type="pct"/>
          </w:tcPr>
          <w:p w:rsidR="00496604" w:rsidRPr="00177C10" w:rsidRDefault="00496604" w:rsidP="008B3EDD">
            <w:pPr>
              <w:ind w:left="0" w:firstLine="0"/>
              <w:rPr>
                <w:sz w:val="18"/>
                <w:szCs w:val="18"/>
              </w:rPr>
            </w:pPr>
            <w:r w:rsidRPr="00177C10">
              <w:rPr>
                <w:sz w:val="18"/>
                <w:szCs w:val="18"/>
              </w:rPr>
              <w:t>Regionally significant projects</w:t>
            </w:r>
          </w:p>
          <w:p w:rsidR="00496604" w:rsidRPr="00177C10" w:rsidRDefault="00496604" w:rsidP="008B3EDD">
            <w:pPr>
              <w:ind w:left="180" w:firstLine="0"/>
              <w:rPr>
                <w:sz w:val="18"/>
                <w:szCs w:val="18"/>
              </w:rPr>
            </w:pPr>
          </w:p>
        </w:tc>
        <w:tc>
          <w:tcPr>
            <w:tcW w:w="491" w:type="pct"/>
          </w:tcPr>
          <w:p w:rsidR="00496604" w:rsidRPr="00177C10" w:rsidRDefault="00496604" w:rsidP="005A0308">
            <w:pPr>
              <w:ind w:left="-19" w:firstLine="0"/>
              <w:rPr>
                <w:sz w:val="18"/>
                <w:szCs w:val="18"/>
              </w:rPr>
            </w:pPr>
            <w:r w:rsidRPr="00177C10">
              <w:rPr>
                <w:sz w:val="18"/>
                <w:szCs w:val="18"/>
              </w:rPr>
              <w:t>Regionally significant – capacity is ½ mile or larger; and minor arterial or higher; and transit is fixed guideway</w:t>
            </w:r>
          </w:p>
        </w:tc>
        <w:tc>
          <w:tcPr>
            <w:tcW w:w="501" w:type="pct"/>
          </w:tcPr>
          <w:p w:rsidR="00496604" w:rsidRPr="00177C10" w:rsidRDefault="00496604" w:rsidP="008B3EDD">
            <w:pPr>
              <w:ind w:left="0" w:firstLine="0"/>
              <w:rPr>
                <w:sz w:val="18"/>
                <w:szCs w:val="18"/>
              </w:rPr>
            </w:pPr>
            <w:r w:rsidRPr="00177C10">
              <w:rPr>
                <w:sz w:val="18"/>
                <w:szCs w:val="18"/>
              </w:rPr>
              <w:t>All projects</w:t>
            </w:r>
          </w:p>
          <w:p w:rsidR="00496604" w:rsidRPr="00177C10" w:rsidRDefault="00496604" w:rsidP="008B3EDD">
            <w:pPr>
              <w:ind w:left="180" w:firstLine="0"/>
              <w:rPr>
                <w:sz w:val="18"/>
                <w:szCs w:val="18"/>
              </w:rPr>
            </w:pPr>
          </w:p>
        </w:tc>
        <w:tc>
          <w:tcPr>
            <w:tcW w:w="529" w:type="pct"/>
          </w:tcPr>
          <w:p w:rsidR="00496604" w:rsidRPr="00177C10" w:rsidRDefault="00496604" w:rsidP="008B3EDD">
            <w:pPr>
              <w:ind w:left="0" w:firstLine="0"/>
              <w:rPr>
                <w:sz w:val="18"/>
                <w:szCs w:val="18"/>
              </w:rPr>
            </w:pPr>
            <w:r w:rsidRPr="00177C10">
              <w:rPr>
                <w:sz w:val="18"/>
                <w:szCs w:val="18"/>
              </w:rPr>
              <w:t>Major projects</w:t>
            </w:r>
          </w:p>
          <w:p w:rsidR="00496604" w:rsidRPr="00177C10" w:rsidRDefault="00496604" w:rsidP="008B3EDD">
            <w:pPr>
              <w:ind w:left="180" w:firstLine="0"/>
              <w:rPr>
                <w:sz w:val="18"/>
                <w:szCs w:val="18"/>
              </w:rPr>
            </w:pPr>
          </w:p>
        </w:tc>
        <w:tc>
          <w:tcPr>
            <w:tcW w:w="597" w:type="pct"/>
          </w:tcPr>
          <w:p w:rsidR="00496604" w:rsidRPr="00177C10" w:rsidRDefault="00496604" w:rsidP="008B3EDD">
            <w:pPr>
              <w:ind w:left="0" w:firstLine="0"/>
              <w:rPr>
                <w:sz w:val="18"/>
                <w:szCs w:val="18"/>
              </w:rPr>
            </w:pPr>
            <w:r w:rsidRPr="00177C10">
              <w:rPr>
                <w:sz w:val="18"/>
                <w:szCs w:val="18"/>
              </w:rPr>
              <w:t>Capacity projects</w:t>
            </w:r>
          </w:p>
          <w:p w:rsidR="00496604" w:rsidRPr="00177C10" w:rsidRDefault="00496604" w:rsidP="008B3EDD">
            <w:pPr>
              <w:ind w:left="180" w:firstLine="0"/>
              <w:rPr>
                <w:sz w:val="18"/>
                <w:szCs w:val="18"/>
              </w:rPr>
            </w:pPr>
          </w:p>
        </w:tc>
      </w:tr>
      <w:tr w:rsidR="002374AE" w:rsidRPr="00177C10" w:rsidTr="001F6656">
        <w:trPr>
          <w:trHeight w:val="1355"/>
        </w:trPr>
        <w:tc>
          <w:tcPr>
            <w:tcW w:w="283" w:type="pct"/>
          </w:tcPr>
          <w:p w:rsidR="00496604" w:rsidRPr="00177C10" w:rsidRDefault="00496604" w:rsidP="00D52381">
            <w:pPr>
              <w:ind w:left="180" w:firstLine="0"/>
              <w:rPr>
                <w:b/>
                <w:sz w:val="18"/>
                <w:szCs w:val="18"/>
              </w:rPr>
            </w:pPr>
            <w:r>
              <w:rPr>
                <w:b/>
                <w:sz w:val="18"/>
                <w:szCs w:val="18"/>
              </w:rPr>
              <w:t>9</w:t>
            </w:r>
            <w:r w:rsidRPr="00177C10">
              <w:rPr>
                <w:b/>
                <w:sz w:val="18"/>
                <w:szCs w:val="18"/>
              </w:rPr>
              <w:t xml:space="preserve">.  </w:t>
            </w:r>
          </w:p>
          <w:p w:rsidR="00496604" w:rsidRPr="00177C10" w:rsidRDefault="00496604" w:rsidP="00D52381">
            <w:pPr>
              <w:ind w:left="180" w:firstLine="0"/>
              <w:rPr>
                <w:b/>
                <w:sz w:val="18"/>
                <w:szCs w:val="18"/>
              </w:rPr>
            </w:pPr>
            <w:r w:rsidRPr="00177C10">
              <w:rPr>
                <w:b/>
                <w:sz w:val="18"/>
                <w:szCs w:val="18"/>
              </w:rPr>
              <w:t>Are PE/Design Phases Eligible?</w:t>
            </w:r>
          </w:p>
        </w:tc>
        <w:tc>
          <w:tcPr>
            <w:tcW w:w="239" w:type="pct"/>
            <w:shd w:val="clear" w:color="auto" w:fill="D9D9D9" w:themeFill="background1" w:themeFillShade="D9"/>
          </w:tcPr>
          <w:p w:rsidR="00496604" w:rsidRPr="00177C10" w:rsidRDefault="00496604" w:rsidP="00AC3AB8">
            <w:pPr>
              <w:ind w:left="0" w:firstLine="0"/>
              <w:rPr>
                <w:sz w:val="18"/>
                <w:szCs w:val="18"/>
              </w:rPr>
            </w:pPr>
            <w:r>
              <w:rPr>
                <w:sz w:val="18"/>
                <w:szCs w:val="18"/>
              </w:rPr>
              <w:t>Yes</w:t>
            </w:r>
          </w:p>
        </w:tc>
        <w:tc>
          <w:tcPr>
            <w:tcW w:w="690" w:type="pct"/>
          </w:tcPr>
          <w:p w:rsidR="00496604" w:rsidRPr="00177C10" w:rsidRDefault="00496604" w:rsidP="00AC3AB8">
            <w:pPr>
              <w:ind w:left="0" w:firstLine="0"/>
              <w:rPr>
                <w:sz w:val="18"/>
                <w:szCs w:val="18"/>
              </w:rPr>
            </w:pPr>
            <w:r w:rsidRPr="00177C10">
              <w:rPr>
                <w:sz w:val="18"/>
                <w:szCs w:val="18"/>
              </w:rPr>
              <w:t>Yes</w:t>
            </w:r>
          </w:p>
        </w:tc>
        <w:tc>
          <w:tcPr>
            <w:tcW w:w="641" w:type="pct"/>
          </w:tcPr>
          <w:p w:rsidR="00496604" w:rsidRPr="00177C10" w:rsidRDefault="00496604" w:rsidP="008B3EDD">
            <w:pPr>
              <w:ind w:left="0" w:firstLine="0"/>
              <w:rPr>
                <w:sz w:val="18"/>
                <w:szCs w:val="18"/>
              </w:rPr>
            </w:pPr>
            <w:r w:rsidRPr="00177C10">
              <w:rPr>
                <w:sz w:val="18"/>
                <w:szCs w:val="18"/>
              </w:rPr>
              <w:t>For CMAQ: Phase I Engineering not eligible</w:t>
            </w:r>
          </w:p>
          <w:p w:rsidR="00496604" w:rsidRPr="00177C10" w:rsidRDefault="00496604" w:rsidP="008B3EDD">
            <w:pPr>
              <w:ind w:left="180" w:firstLine="0"/>
              <w:rPr>
                <w:sz w:val="18"/>
                <w:szCs w:val="18"/>
              </w:rPr>
            </w:pPr>
          </w:p>
        </w:tc>
        <w:tc>
          <w:tcPr>
            <w:tcW w:w="553" w:type="pct"/>
          </w:tcPr>
          <w:p w:rsidR="00496604" w:rsidRPr="00177C10" w:rsidRDefault="00496604" w:rsidP="008B3EDD">
            <w:pPr>
              <w:ind w:left="0" w:firstLine="0"/>
              <w:rPr>
                <w:sz w:val="18"/>
                <w:szCs w:val="18"/>
              </w:rPr>
            </w:pPr>
            <w:r w:rsidRPr="00177C10">
              <w:rPr>
                <w:sz w:val="18"/>
                <w:szCs w:val="18"/>
              </w:rPr>
              <w:t>Yes</w:t>
            </w:r>
          </w:p>
          <w:p w:rsidR="00496604" w:rsidRPr="00177C10" w:rsidRDefault="00496604" w:rsidP="00D52381">
            <w:pPr>
              <w:ind w:left="180" w:firstLine="0"/>
              <w:rPr>
                <w:sz w:val="18"/>
                <w:szCs w:val="18"/>
              </w:rPr>
            </w:pPr>
          </w:p>
        </w:tc>
        <w:tc>
          <w:tcPr>
            <w:tcW w:w="476" w:type="pct"/>
          </w:tcPr>
          <w:p w:rsidR="00496604" w:rsidRPr="00177C10" w:rsidRDefault="00496604" w:rsidP="008B3EDD">
            <w:pPr>
              <w:ind w:left="0" w:firstLine="0"/>
              <w:rPr>
                <w:sz w:val="18"/>
                <w:szCs w:val="18"/>
              </w:rPr>
            </w:pPr>
            <w:r w:rsidRPr="00177C10">
              <w:rPr>
                <w:sz w:val="18"/>
                <w:szCs w:val="18"/>
              </w:rPr>
              <w:t>No</w:t>
            </w:r>
          </w:p>
          <w:p w:rsidR="00496604" w:rsidRPr="00177C10" w:rsidRDefault="00496604" w:rsidP="008B3EDD">
            <w:pPr>
              <w:ind w:left="180" w:firstLine="0"/>
              <w:rPr>
                <w:sz w:val="18"/>
                <w:szCs w:val="18"/>
              </w:rPr>
            </w:pPr>
          </w:p>
        </w:tc>
        <w:tc>
          <w:tcPr>
            <w:tcW w:w="491" w:type="pct"/>
          </w:tcPr>
          <w:p w:rsidR="00496604" w:rsidRPr="00177C10" w:rsidRDefault="00496604" w:rsidP="008B3EDD">
            <w:pPr>
              <w:ind w:left="0" w:firstLine="0"/>
              <w:rPr>
                <w:sz w:val="18"/>
                <w:szCs w:val="18"/>
              </w:rPr>
            </w:pPr>
            <w:r w:rsidRPr="00177C10">
              <w:rPr>
                <w:sz w:val="18"/>
                <w:szCs w:val="18"/>
              </w:rPr>
              <w:t>Only construction phases of projects are eligible for STP money; all phases can be funded for CMAQ projects</w:t>
            </w:r>
          </w:p>
          <w:p w:rsidR="00496604" w:rsidRPr="00177C10" w:rsidRDefault="00496604" w:rsidP="008B3EDD">
            <w:pPr>
              <w:ind w:left="180" w:firstLine="0"/>
              <w:rPr>
                <w:sz w:val="18"/>
                <w:szCs w:val="18"/>
              </w:rPr>
            </w:pPr>
          </w:p>
        </w:tc>
        <w:tc>
          <w:tcPr>
            <w:tcW w:w="501" w:type="pct"/>
          </w:tcPr>
          <w:p w:rsidR="00496604" w:rsidRPr="00177C10" w:rsidRDefault="00496604" w:rsidP="008B3EDD">
            <w:pPr>
              <w:ind w:left="0" w:firstLine="0"/>
              <w:rPr>
                <w:sz w:val="18"/>
                <w:szCs w:val="18"/>
              </w:rPr>
            </w:pPr>
            <w:r w:rsidRPr="00177C10">
              <w:rPr>
                <w:sz w:val="18"/>
                <w:szCs w:val="18"/>
              </w:rPr>
              <w:t>Generally, only construction and ROW phases are funded</w:t>
            </w:r>
          </w:p>
          <w:p w:rsidR="00496604" w:rsidRPr="00177C10" w:rsidRDefault="00496604" w:rsidP="008B3EDD">
            <w:pPr>
              <w:ind w:left="180" w:firstLine="0"/>
              <w:rPr>
                <w:sz w:val="18"/>
                <w:szCs w:val="18"/>
              </w:rPr>
            </w:pPr>
          </w:p>
        </w:tc>
        <w:tc>
          <w:tcPr>
            <w:tcW w:w="529" w:type="pct"/>
          </w:tcPr>
          <w:p w:rsidR="00496604" w:rsidRPr="00177C10" w:rsidRDefault="00496604" w:rsidP="008B3EDD">
            <w:pPr>
              <w:ind w:left="0" w:firstLine="0"/>
              <w:rPr>
                <w:sz w:val="18"/>
                <w:szCs w:val="18"/>
              </w:rPr>
            </w:pPr>
            <w:r w:rsidRPr="00177C10">
              <w:rPr>
                <w:sz w:val="18"/>
                <w:szCs w:val="18"/>
              </w:rPr>
              <w:t>Yes</w:t>
            </w:r>
          </w:p>
          <w:p w:rsidR="00496604" w:rsidRPr="00177C10" w:rsidRDefault="00496604" w:rsidP="008B3EDD">
            <w:pPr>
              <w:ind w:left="180" w:firstLine="0"/>
              <w:rPr>
                <w:sz w:val="18"/>
                <w:szCs w:val="18"/>
              </w:rPr>
            </w:pPr>
          </w:p>
        </w:tc>
        <w:tc>
          <w:tcPr>
            <w:tcW w:w="597" w:type="pct"/>
          </w:tcPr>
          <w:p w:rsidR="00496604" w:rsidRPr="00177C10" w:rsidRDefault="00496604" w:rsidP="008B3EDD">
            <w:pPr>
              <w:ind w:left="0" w:firstLine="0"/>
              <w:rPr>
                <w:sz w:val="18"/>
                <w:szCs w:val="18"/>
              </w:rPr>
            </w:pPr>
            <w:r w:rsidRPr="00177C10">
              <w:rPr>
                <w:sz w:val="18"/>
                <w:szCs w:val="18"/>
              </w:rPr>
              <w:t>Yes</w:t>
            </w:r>
          </w:p>
          <w:p w:rsidR="00496604" w:rsidRPr="00177C10" w:rsidRDefault="00496604" w:rsidP="008B3EDD">
            <w:pPr>
              <w:ind w:left="180" w:firstLine="0"/>
              <w:rPr>
                <w:sz w:val="18"/>
                <w:szCs w:val="18"/>
              </w:rPr>
            </w:pPr>
          </w:p>
        </w:tc>
      </w:tr>
      <w:tr w:rsidR="002374AE" w:rsidRPr="00177C10" w:rsidTr="001F6656">
        <w:trPr>
          <w:trHeight w:val="1073"/>
        </w:trPr>
        <w:tc>
          <w:tcPr>
            <w:tcW w:w="283" w:type="pct"/>
          </w:tcPr>
          <w:p w:rsidR="00496604" w:rsidRPr="00177C10" w:rsidRDefault="00496604" w:rsidP="00D52381">
            <w:pPr>
              <w:ind w:left="180" w:firstLine="0"/>
              <w:rPr>
                <w:b/>
                <w:sz w:val="18"/>
                <w:szCs w:val="18"/>
              </w:rPr>
            </w:pPr>
            <w:r>
              <w:rPr>
                <w:b/>
                <w:sz w:val="18"/>
                <w:szCs w:val="18"/>
              </w:rPr>
              <w:t>10</w:t>
            </w:r>
            <w:r w:rsidRPr="00177C10">
              <w:rPr>
                <w:b/>
                <w:sz w:val="18"/>
                <w:szCs w:val="18"/>
              </w:rPr>
              <w:t xml:space="preserve">.  </w:t>
            </w:r>
          </w:p>
          <w:p w:rsidR="00496604" w:rsidRPr="00177C10" w:rsidRDefault="00496604" w:rsidP="00D52381">
            <w:pPr>
              <w:ind w:left="180" w:firstLine="0"/>
              <w:rPr>
                <w:b/>
                <w:sz w:val="18"/>
                <w:szCs w:val="18"/>
              </w:rPr>
            </w:pPr>
            <w:r w:rsidRPr="00177C10">
              <w:rPr>
                <w:b/>
                <w:sz w:val="18"/>
                <w:szCs w:val="18"/>
              </w:rPr>
              <w:t>Years Between Solicitations</w:t>
            </w:r>
          </w:p>
        </w:tc>
        <w:tc>
          <w:tcPr>
            <w:tcW w:w="239" w:type="pct"/>
            <w:shd w:val="clear" w:color="auto" w:fill="D9D9D9" w:themeFill="background1" w:themeFillShade="D9"/>
          </w:tcPr>
          <w:p w:rsidR="00496604" w:rsidRPr="00177C10" w:rsidRDefault="00496604" w:rsidP="00AC3AB8">
            <w:pPr>
              <w:ind w:left="0" w:firstLine="0"/>
              <w:rPr>
                <w:sz w:val="18"/>
                <w:szCs w:val="18"/>
              </w:rPr>
            </w:pPr>
            <w:r>
              <w:rPr>
                <w:sz w:val="18"/>
                <w:szCs w:val="18"/>
              </w:rPr>
              <w:t>Four years</w:t>
            </w:r>
          </w:p>
        </w:tc>
        <w:tc>
          <w:tcPr>
            <w:tcW w:w="690" w:type="pct"/>
          </w:tcPr>
          <w:p w:rsidR="00496604" w:rsidRPr="00177C10" w:rsidRDefault="00496604" w:rsidP="00AC3AB8">
            <w:pPr>
              <w:ind w:left="0" w:firstLine="0"/>
              <w:rPr>
                <w:sz w:val="18"/>
                <w:szCs w:val="18"/>
              </w:rPr>
            </w:pPr>
            <w:r w:rsidRPr="00177C10">
              <w:rPr>
                <w:sz w:val="18"/>
                <w:szCs w:val="18"/>
              </w:rPr>
              <w:t xml:space="preserve">There </w:t>
            </w:r>
            <w:proofErr w:type="gramStart"/>
            <w:r w:rsidRPr="00177C10">
              <w:rPr>
                <w:sz w:val="18"/>
                <w:szCs w:val="18"/>
              </w:rPr>
              <w:t>are no set call</w:t>
            </w:r>
            <w:proofErr w:type="gramEnd"/>
            <w:r w:rsidRPr="00177C10">
              <w:rPr>
                <w:sz w:val="18"/>
                <w:szCs w:val="18"/>
              </w:rPr>
              <w:t xml:space="preserve"> for project dates; they solicit projects when substantial funds become available. Staff indicated that they are moving to a rolling application process</w:t>
            </w:r>
          </w:p>
          <w:p w:rsidR="00496604" w:rsidRPr="00177C10" w:rsidRDefault="00496604" w:rsidP="00AC3AB8">
            <w:pPr>
              <w:ind w:left="0" w:firstLine="0"/>
              <w:rPr>
                <w:sz w:val="18"/>
                <w:szCs w:val="18"/>
              </w:rPr>
            </w:pPr>
          </w:p>
        </w:tc>
        <w:tc>
          <w:tcPr>
            <w:tcW w:w="641" w:type="pct"/>
          </w:tcPr>
          <w:p w:rsidR="00496604" w:rsidRPr="00177C10" w:rsidRDefault="00496604" w:rsidP="008B3EDD">
            <w:pPr>
              <w:ind w:left="0" w:firstLine="0"/>
              <w:rPr>
                <w:sz w:val="18"/>
                <w:szCs w:val="18"/>
              </w:rPr>
            </w:pPr>
            <w:r w:rsidRPr="00177C10">
              <w:rPr>
                <w:sz w:val="18"/>
                <w:szCs w:val="18"/>
              </w:rPr>
              <w:t>Most suburban councils do an open call, some do one every 3 years</w:t>
            </w:r>
          </w:p>
          <w:p w:rsidR="00496604" w:rsidRPr="00177C10" w:rsidRDefault="00496604" w:rsidP="008B3EDD">
            <w:pPr>
              <w:ind w:left="180" w:firstLine="0"/>
              <w:rPr>
                <w:sz w:val="18"/>
                <w:szCs w:val="18"/>
              </w:rPr>
            </w:pPr>
          </w:p>
        </w:tc>
        <w:tc>
          <w:tcPr>
            <w:tcW w:w="553" w:type="pct"/>
          </w:tcPr>
          <w:p w:rsidR="00496604" w:rsidRPr="00177C10" w:rsidRDefault="00496604" w:rsidP="008B3EDD">
            <w:pPr>
              <w:ind w:left="0" w:firstLine="0"/>
              <w:rPr>
                <w:sz w:val="18"/>
                <w:szCs w:val="18"/>
              </w:rPr>
            </w:pPr>
            <w:r w:rsidRPr="00177C10">
              <w:rPr>
                <w:sz w:val="18"/>
                <w:szCs w:val="18"/>
              </w:rPr>
              <w:t>Two years</w:t>
            </w:r>
          </w:p>
          <w:p w:rsidR="00496604" w:rsidRPr="00177C10" w:rsidRDefault="00496604" w:rsidP="00D52381">
            <w:pPr>
              <w:ind w:left="180" w:firstLine="0"/>
              <w:rPr>
                <w:sz w:val="18"/>
                <w:szCs w:val="18"/>
              </w:rPr>
            </w:pPr>
          </w:p>
        </w:tc>
        <w:tc>
          <w:tcPr>
            <w:tcW w:w="476" w:type="pct"/>
          </w:tcPr>
          <w:p w:rsidR="00496604" w:rsidRPr="00177C10" w:rsidRDefault="00496604" w:rsidP="008B3EDD">
            <w:pPr>
              <w:ind w:left="0" w:firstLine="0"/>
              <w:rPr>
                <w:sz w:val="18"/>
                <w:szCs w:val="18"/>
              </w:rPr>
            </w:pPr>
            <w:r w:rsidRPr="00177C10">
              <w:rPr>
                <w:sz w:val="18"/>
                <w:szCs w:val="18"/>
              </w:rPr>
              <w:t>Two years</w:t>
            </w:r>
          </w:p>
          <w:p w:rsidR="00496604" w:rsidRPr="00177C10" w:rsidRDefault="00496604" w:rsidP="008B3EDD">
            <w:pPr>
              <w:ind w:left="180" w:firstLine="0"/>
              <w:rPr>
                <w:sz w:val="18"/>
                <w:szCs w:val="18"/>
              </w:rPr>
            </w:pPr>
          </w:p>
        </w:tc>
        <w:tc>
          <w:tcPr>
            <w:tcW w:w="491" w:type="pct"/>
          </w:tcPr>
          <w:p w:rsidR="00496604" w:rsidRPr="00177C10" w:rsidRDefault="00496604" w:rsidP="008B3EDD">
            <w:pPr>
              <w:ind w:left="0" w:firstLine="0"/>
              <w:rPr>
                <w:sz w:val="18"/>
                <w:szCs w:val="18"/>
              </w:rPr>
            </w:pPr>
            <w:r w:rsidRPr="00177C10">
              <w:rPr>
                <w:sz w:val="18"/>
                <w:szCs w:val="18"/>
              </w:rPr>
              <w:t>Two years</w:t>
            </w:r>
          </w:p>
          <w:p w:rsidR="00496604" w:rsidRPr="00177C10" w:rsidRDefault="00496604" w:rsidP="008B3EDD">
            <w:pPr>
              <w:ind w:left="180" w:firstLine="0"/>
              <w:rPr>
                <w:sz w:val="18"/>
                <w:szCs w:val="18"/>
              </w:rPr>
            </w:pPr>
          </w:p>
        </w:tc>
        <w:tc>
          <w:tcPr>
            <w:tcW w:w="501" w:type="pct"/>
          </w:tcPr>
          <w:p w:rsidR="00496604" w:rsidRPr="00177C10" w:rsidRDefault="00496604" w:rsidP="008B3EDD">
            <w:pPr>
              <w:ind w:left="0" w:firstLine="0"/>
              <w:rPr>
                <w:sz w:val="18"/>
                <w:szCs w:val="18"/>
              </w:rPr>
            </w:pPr>
            <w:r w:rsidRPr="00177C10">
              <w:rPr>
                <w:sz w:val="18"/>
                <w:szCs w:val="18"/>
              </w:rPr>
              <w:t>Two years</w:t>
            </w:r>
          </w:p>
          <w:p w:rsidR="00496604" w:rsidRPr="00177C10" w:rsidRDefault="00496604" w:rsidP="008B3EDD">
            <w:pPr>
              <w:ind w:left="180" w:firstLine="0"/>
              <w:rPr>
                <w:sz w:val="18"/>
                <w:szCs w:val="18"/>
              </w:rPr>
            </w:pPr>
          </w:p>
        </w:tc>
        <w:tc>
          <w:tcPr>
            <w:tcW w:w="529" w:type="pct"/>
          </w:tcPr>
          <w:p w:rsidR="00496604" w:rsidRPr="00177C10" w:rsidRDefault="00496604" w:rsidP="008B3EDD">
            <w:pPr>
              <w:ind w:left="0" w:firstLine="0"/>
              <w:rPr>
                <w:sz w:val="18"/>
                <w:szCs w:val="18"/>
              </w:rPr>
            </w:pPr>
            <w:r w:rsidRPr="00177C10">
              <w:rPr>
                <w:sz w:val="18"/>
                <w:szCs w:val="18"/>
              </w:rPr>
              <w:t>RTP every 4 years, so every other TIP update synchronized with RTP update</w:t>
            </w:r>
          </w:p>
          <w:p w:rsidR="00496604" w:rsidRPr="00177C10" w:rsidRDefault="00496604" w:rsidP="008B3EDD">
            <w:pPr>
              <w:ind w:left="180" w:firstLine="0"/>
              <w:rPr>
                <w:sz w:val="18"/>
                <w:szCs w:val="18"/>
              </w:rPr>
            </w:pPr>
          </w:p>
        </w:tc>
        <w:tc>
          <w:tcPr>
            <w:tcW w:w="597" w:type="pct"/>
          </w:tcPr>
          <w:p w:rsidR="00496604" w:rsidRPr="00177C10" w:rsidRDefault="00496604" w:rsidP="008B3EDD">
            <w:pPr>
              <w:ind w:left="0" w:firstLine="0"/>
              <w:rPr>
                <w:sz w:val="18"/>
                <w:szCs w:val="18"/>
              </w:rPr>
            </w:pPr>
            <w:r w:rsidRPr="00177C10">
              <w:rPr>
                <w:sz w:val="18"/>
                <w:szCs w:val="18"/>
              </w:rPr>
              <w:t>Two years</w:t>
            </w:r>
          </w:p>
          <w:p w:rsidR="00496604" w:rsidRPr="00177C10" w:rsidRDefault="00496604" w:rsidP="008B3EDD">
            <w:pPr>
              <w:ind w:left="180" w:firstLine="0"/>
              <w:rPr>
                <w:sz w:val="18"/>
                <w:szCs w:val="18"/>
              </w:rPr>
            </w:pPr>
          </w:p>
        </w:tc>
      </w:tr>
      <w:tr w:rsidR="002374AE" w:rsidRPr="00177C10" w:rsidTr="001F6656">
        <w:trPr>
          <w:trHeight w:val="959"/>
        </w:trPr>
        <w:tc>
          <w:tcPr>
            <w:tcW w:w="283" w:type="pct"/>
          </w:tcPr>
          <w:p w:rsidR="00496604" w:rsidRPr="00177C10" w:rsidRDefault="00496604" w:rsidP="00D52381">
            <w:pPr>
              <w:ind w:left="180" w:firstLine="0"/>
              <w:rPr>
                <w:b/>
                <w:sz w:val="18"/>
                <w:szCs w:val="18"/>
              </w:rPr>
            </w:pPr>
            <w:r w:rsidRPr="00177C10">
              <w:rPr>
                <w:b/>
                <w:sz w:val="18"/>
                <w:szCs w:val="18"/>
              </w:rPr>
              <w:t>1</w:t>
            </w:r>
            <w:r>
              <w:rPr>
                <w:b/>
                <w:sz w:val="18"/>
                <w:szCs w:val="18"/>
              </w:rPr>
              <w:t>1</w:t>
            </w:r>
            <w:r w:rsidRPr="00177C10">
              <w:rPr>
                <w:b/>
                <w:sz w:val="18"/>
                <w:szCs w:val="18"/>
              </w:rPr>
              <w:t xml:space="preserve">.  </w:t>
            </w:r>
          </w:p>
          <w:p w:rsidR="00496604" w:rsidRPr="00177C10" w:rsidRDefault="00496604" w:rsidP="00D52381">
            <w:pPr>
              <w:ind w:left="180" w:firstLine="0"/>
              <w:rPr>
                <w:b/>
                <w:sz w:val="18"/>
                <w:szCs w:val="18"/>
              </w:rPr>
            </w:pPr>
            <w:r w:rsidRPr="00177C10">
              <w:rPr>
                <w:b/>
                <w:sz w:val="18"/>
                <w:szCs w:val="18"/>
              </w:rPr>
              <w:t>Other notes</w:t>
            </w:r>
          </w:p>
        </w:tc>
        <w:tc>
          <w:tcPr>
            <w:tcW w:w="239" w:type="pct"/>
            <w:shd w:val="clear" w:color="auto" w:fill="D9D9D9" w:themeFill="background1" w:themeFillShade="D9"/>
          </w:tcPr>
          <w:p w:rsidR="00496604" w:rsidRPr="00177C10" w:rsidRDefault="00496604" w:rsidP="00496604">
            <w:pPr>
              <w:pStyle w:val="ListParagraph"/>
              <w:spacing w:after="0"/>
              <w:ind w:left="290"/>
              <w:rPr>
                <w:sz w:val="18"/>
                <w:szCs w:val="18"/>
              </w:rPr>
            </w:pPr>
          </w:p>
        </w:tc>
        <w:tc>
          <w:tcPr>
            <w:tcW w:w="690" w:type="pct"/>
          </w:tcPr>
          <w:p w:rsidR="00496604" w:rsidRPr="00177C10" w:rsidRDefault="00496604" w:rsidP="00AC3AB8">
            <w:pPr>
              <w:pStyle w:val="ListParagraph"/>
              <w:numPr>
                <w:ilvl w:val="0"/>
                <w:numId w:val="5"/>
              </w:numPr>
              <w:spacing w:after="0"/>
              <w:ind w:left="290"/>
              <w:rPr>
                <w:sz w:val="18"/>
                <w:szCs w:val="18"/>
              </w:rPr>
            </w:pPr>
            <w:r w:rsidRPr="00177C10">
              <w:rPr>
                <w:sz w:val="18"/>
                <w:szCs w:val="18"/>
              </w:rPr>
              <w:t>Selection criteria vary from call to call. For example, the current call focuses on completing existing  projects and deliverability</w:t>
            </w:r>
          </w:p>
          <w:p w:rsidR="00496604" w:rsidRPr="00177C10" w:rsidRDefault="00496604" w:rsidP="00AC3AB8">
            <w:pPr>
              <w:pStyle w:val="ListParagraph"/>
              <w:numPr>
                <w:ilvl w:val="0"/>
                <w:numId w:val="5"/>
              </w:numPr>
              <w:ind w:left="290"/>
              <w:rPr>
                <w:sz w:val="18"/>
                <w:szCs w:val="18"/>
              </w:rPr>
            </w:pPr>
            <w:r w:rsidRPr="00177C10">
              <w:rPr>
                <w:sz w:val="18"/>
                <w:szCs w:val="18"/>
              </w:rPr>
              <w:t>The project selection process is not ratified by their Board</w:t>
            </w:r>
          </w:p>
        </w:tc>
        <w:tc>
          <w:tcPr>
            <w:tcW w:w="641" w:type="pct"/>
          </w:tcPr>
          <w:p w:rsidR="00496604" w:rsidRPr="00177C10" w:rsidRDefault="00496604" w:rsidP="00251358">
            <w:pPr>
              <w:numPr>
                <w:ilvl w:val="0"/>
                <w:numId w:val="3"/>
              </w:numPr>
              <w:rPr>
                <w:sz w:val="18"/>
                <w:szCs w:val="18"/>
              </w:rPr>
            </w:pPr>
            <w:r w:rsidRPr="00177C10">
              <w:rPr>
                <w:sz w:val="18"/>
                <w:szCs w:val="18"/>
              </w:rPr>
              <w:t>STP-County are divided so that each county gets an equal share of 50% of the funds, with the rest divvied up by population</w:t>
            </w:r>
          </w:p>
          <w:p w:rsidR="00496604" w:rsidRPr="00177C10" w:rsidRDefault="00496604" w:rsidP="008B3EDD">
            <w:pPr>
              <w:ind w:left="180" w:firstLine="0"/>
              <w:rPr>
                <w:sz w:val="18"/>
                <w:szCs w:val="18"/>
              </w:rPr>
            </w:pPr>
          </w:p>
        </w:tc>
        <w:tc>
          <w:tcPr>
            <w:tcW w:w="553" w:type="pct"/>
          </w:tcPr>
          <w:p w:rsidR="00496604" w:rsidRPr="00177C10" w:rsidRDefault="00496604" w:rsidP="005A3A52">
            <w:pPr>
              <w:numPr>
                <w:ilvl w:val="0"/>
                <w:numId w:val="3"/>
              </w:numPr>
              <w:rPr>
                <w:sz w:val="18"/>
                <w:szCs w:val="18"/>
              </w:rPr>
            </w:pPr>
            <w:r w:rsidRPr="00177C10">
              <w:rPr>
                <w:sz w:val="18"/>
                <w:szCs w:val="18"/>
              </w:rPr>
              <w:t xml:space="preserve">New Jersey has a program whereby they swap DVRPC’s STP allocation with state funds. Staff stated that it is a dollar for dollar swap and that this allows for some flexibility in the types and locations of projects funded. Staff also indicated that recipients were happy with this arraignment </w:t>
            </w:r>
          </w:p>
          <w:p w:rsidR="00496604" w:rsidRPr="00177C10" w:rsidRDefault="00496604" w:rsidP="005A0308">
            <w:pPr>
              <w:numPr>
                <w:ilvl w:val="0"/>
                <w:numId w:val="3"/>
              </w:numPr>
              <w:rPr>
                <w:sz w:val="18"/>
                <w:szCs w:val="18"/>
              </w:rPr>
            </w:pPr>
            <w:r w:rsidRPr="00177C10">
              <w:rPr>
                <w:sz w:val="18"/>
                <w:szCs w:val="18"/>
              </w:rPr>
              <w:t>Before most recent call for projects, staff led a TIP tour for technical committee members in order to show projects finished, under construction or that localities would like to see programmed; staff felt this was very successful in facilitating project selection process</w:t>
            </w:r>
          </w:p>
        </w:tc>
        <w:tc>
          <w:tcPr>
            <w:tcW w:w="476" w:type="pct"/>
          </w:tcPr>
          <w:p w:rsidR="00496604" w:rsidRPr="00177C10" w:rsidRDefault="00496604" w:rsidP="00D52381">
            <w:pPr>
              <w:ind w:left="180" w:firstLine="0"/>
              <w:rPr>
                <w:sz w:val="18"/>
                <w:szCs w:val="18"/>
              </w:rPr>
            </w:pPr>
          </w:p>
        </w:tc>
        <w:tc>
          <w:tcPr>
            <w:tcW w:w="491" w:type="pct"/>
          </w:tcPr>
          <w:p w:rsidR="00496604" w:rsidRPr="00177C10" w:rsidRDefault="00496604" w:rsidP="00D52381">
            <w:pPr>
              <w:ind w:left="180" w:firstLine="0"/>
              <w:rPr>
                <w:sz w:val="18"/>
                <w:szCs w:val="18"/>
              </w:rPr>
            </w:pPr>
          </w:p>
        </w:tc>
        <w:tc>
          <w:tcPr>
            <w:tcW w:w="501" w:type="pct"/>
          </w:tcPr>
          <w:p w:rsidR="00496604" w:rsidRPr="00177C10" w:rsidRDefault="00496604" w:rsidP="006B7278">
            <w:pPr>
              <w:numPr>
                <w:ilvl w:val="0"/>
                <w:numId w:val="4"/>
              </w:numPr>
              <w:rPr>
                <w:sz w:val="18"/>
                <w:szCs w:val="18"/>
              </w:rPr>
            </w:pPr>
            <w:r w:rsidRPr="00177C10">
              <w:rPr>
                <w:sz w:val="18"/>
                <w:szCs w:val="18"/>
              </w:rPr>
              <w:t>Only allocates funds to projects within Urbanized Areas (except for studies and ride-share programs)</w:t>
            </w:r>
          </w:p>
          <w:p w:rsidR="00496604" w:rsidRPr="00177C10" w:rsidRDefault="00496604" w:rsidP="006B7278">
            <w:pPr>
              <w:numPr>
                <w:ilvl w:val="0"/>
                <w:numId w:val="4"/>
              </w:numPr>
              <w:rPr>
                <w:sz w:val="18"/>
                <w:szCs w:val="18"/>
              </w:rPr>
            </w:pPr>
            <w:r w:rsidRPr="00177C10">
              <w:rPr>
                <w:sz w:val="18"/>
                <w:szCs w:val="18"/>
              </w:rPr>
              <w:t>Projects must comply with Complete Streets policy</w:t>
            </w:r>
          </w:p>
          <w:p w:rsidR="00496604" w:rsidRPr="00177C10" w:rsidRDefault="00496604" w:rsidP="006B7278">
            <w:pPr>
              <w:numPr>
                <w:ilvl w:val="0"/>
                <w:numId w:val="4"/>
              </w:numPr>
              <w:rPr>
                <w:sz w:val="18"/>
                <w:szCs w:val="18"/>
              </w:rPr>
            </w:pPr>
            <w:r w:rsidRPr="00177C10">
              <w:rPr>
                <w:sz w:val="18"/>
                <w:szCs w:val="18"/>
              </w:rPr>
              <w:t>CMAQ funds distributed by ODOT through a statewide call for projects, rather than MORPC. Scored by MORPC and selected projects submitted as applications to ODOT</w:t>
            </w:r>
          </w:p>
          <w:p w:rsidR="00496604" w:rsidRPr="00177C10" w:rsidRDefault="00496604" w:rsidP="006B7278">
            <w:pPr>
              <w:numPr>
                <w:ilvl w:val="0"/>
                <w:numId w:val="4"/>
              </w:numPr>
              <w:rPr>
                <w:sz w:val="18"/>
                <w:szCs w:val="18"/>
              </w:rPr>
            </w:pPr>
            <w:r w:rsidRPr="00177C10">
              <w:rPr>
                <w:sz w:val="18"/>
                <w:szCs w:val="18"/>
              </w:rPr>
              <w:t>For applicants with multiple applications, they must submit their priorities, which are taken into account</w:t>
            </w:r>
          </w:p>
          <w:p w:rsidR="00496604" w:rsidRPr="00177C10" w:rsidRDefault="00496604" w:rsidP="00D52381">
            <w:pPr>
              <w:ind w:left="180" w:firstLine="0"/>
              <w:rPr>
                <w:sz w:val="18"/>
                <w:szCs w:val="18"/>
              </w:rPr>
            </w:pPr>
          </w:p>
        </w:tc>
        <w:tc>
          <w:tcPr>
            <w:tcW w:w="529" w:type="pct"/>
          </w:tcPr>
          <w:p w:rsidR="00496604" w:rsidRPr="00177C10" w:rsidRDefault="00496604" w:rsidP="005A0308">
            <w:pPr>
              <w:numPr>
                <w:ilvl w:val="0"/>
                <w:numId w:val="6"/>
              </w:numPr>
              <w:ind w:left="252" w:hanging="252"/>
              <w:rPr>
                <w:sz w:val="18"/>
                <w:szCs w:val="18"/>
              </w:rPr>
            </w:pPr>
            <w:r w:rsidRPr="00177C10">
              <w:rPr>
                <w:sz w:val="18"/>
                <w:szCs w:val="18"/>
              </w:rPr>
              <w:t>Only one out of five counties eligible for CMAQ funds</w:t>
            </w:r>
          </w:p>
          <w:p w:rsidR="00496604" w:rsidRPr="00177C10" w:rsidRDefault="00496604" w:rsidP="005A0308">
            <w:pPr>
              <w:numPr>
                <w:ilvl w:val="0"/>
                <w:numId w:val="6"/>
              </w:numPr>
              <w:ind w:left="252" w:hanging="252"/>
              <w:rPr>
                <w:sz w:val="18"/>
                <w:szCs w:val="18"/>
              </w:rPr>
            </w:pPr>
            <w:r w:rsidRPr="00177C10">
              <w:rPr>
                <w:sz w:val="18"/>
                <w:szCs w:val="18"/>
              </w:rPr>
              <w:t>Allocate STP-Metro for Albuquerque UA; and what they call STP-Small Urban for smaller UAs and STP-Rural (both the latter appear to be STP funds allocated to state based on non-metro population) for areas not in the UA. There is one call for projects with different processes for the different funds</w:t>
            </w:r>
          </w:p>
          <w:p w:rsidR="00496604" w:rsidRPr="00177C10" w:rsidRDefault="00496604" w:rsidP="005A0308">
            <w:pPr>
              <w:numPr>
                <w:ilvl w:val="0"/>
                <w:numId w:val="4"/>
              </w:numPr>
              <w:ind w:left="252" w:hanging="252"/>
              <w:rPr>
                <w:sz w:val="18"/>
                <w:szCs w:val="18"/>
              </w:rPr>
            </w:pPr>
            <w:r w:rsidRPr="00177C10">
              <w:rPr>
                <w:sz w:val="18"/>
                <w:szCs w:val="18"/>
              </w:rPr>
              <w:t>Encourages a ‘soft match’ by sponsors where they pay for pre-construction work and get reimbursed for all construction</w:t>
            </w:r>
          </w:p>
        </w:tc>
        <w:tc>
          <w:tcPr>
            <w:tcW w:w="597" w:type="pct"/>
          </w:tcPr>
          <w:p w:rsidR="00496604" w:rsidRPr="00177C10" w:rsidRDefault="00496604" w:rsidP="000A200D">
            <w:pPr>
              <w:numPr>
                <w:ilvl w:val="0"/>
                <w:numId w:val="7"/>
              </w:numPr>
              <w:rPr>
                <w:sz w:val="18"/>
                <w:szCs w:val="18"/>
              </w:rPr>
            </w:pPr>
            <w:r w:rsidRPr="00177C10">
              <w:rPr>
                <w:sz w:val="18"/>
                <w:szCs w:val="18"/>
              </w:rPr>
              <w:t>Not all MPO area within non-attainment for CMAQ funds</w:t>
            </w:r>
          </w:p>
          <w:p w:rsidR="00496604" w:rsidRPr="00177C10" w:rsidRDefault="00496604" w:rsidP="00251358">
            <w:pPr>
              <w:numPr>
                <w:ilvl w:val="0"/>
                <w:numId w:val="4"/>
              </w:numPr>
              <w:rPr>
                <w:sz w:val="18"/>
                <w:szCs w:val="18"/>
              </w:rPr>
            </w:pPr>
            <w:r w:rsidRPr="00177C10">
              <w:rPr>
                <w:sz w:val="18"/>
                <w:szCs w:val="18"/>
              </w:rPr>
              <w:t>Rural areas get a set aside as do “rural town centers and corridors,” areas that may not necessarily be designated “rural” by the Census Bureau. PRSC appears to receive non-MPO allocated state STP funds in addition to their STP-U allocation</w:t>
            </w:r>
          </w:p>
        </w:tc>
      </w:tr>
    </w:tbl>
    <w:p w:rsidR="00246B7E" w:rsidRPr="00177C10" w:rsidRDefault="00246B7E" w:rsidP="001F6656">
      <w:pPr>
        <w:ind w:left="180" w:firstLine="0"/>
        <w:rPr>
          <w:sz w:val="18"/>
          <w:szCs w:val="18"/>
        </w:rPr>
      </w:pPr>
    </w:p>
    <w:sectPr w:rsidR="00246B7E" w:rsidRPr="00177C10" w:rsidSect="00260A8F">
      <w:pgSz w:w="24480" w:h="15840" w:orient="landscape" w:code="3"/>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E48F4"/>
    <w:multiLevelType w:val="hybridMultilevel"/>
    <w:tmpl w:val="D144A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CF3A68"/>
    <w:multiLevelType w:val="hybridMultilevel"/>
    <w:tmpl w:val="62748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727DEF"/>
    <w:multiLevelType w:val="hybridMultilevel"/>
    <w:tmpl w:val="01A699D8"/>
    <w:lvl w:ilvl="0" w:tplc="D22A2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74C70"/>
    <w:multiLevelType w:val="hybridMultilevel"/>
    <w:tmpl w:val="582AA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154E31"/>
    <w:multiLevelType w:val="hybridMultilevel"/>
    <w:tmpl w:val="1F2E8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B6406D"/>
    <w:multiLevelType w:val="hybridMultilevel"/>
    <w:tmpl w:val="97202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6E240B"/>
    <w:multiLevelType w:val="hybridMultilevel"/>
    <w:tmpl w:val="F4C4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0C3782"/>
    <w:multiLevelType w:val="hybridMultilevel"/>
    <w:tmpl w:val="8020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2F3C2E"/>
    <w:rsid w:val="00000533"/>
    <w:rsid w:val="000006C7"/>
    <w:rsid w:val="0000084A"/>
    <w:rsid w:val="00000EF1"/>
    <w:rsid w:val="00007D84"/>
    <w:rsid w:val="00010355"/>
    <w:rsid w:val="00010FBD"/>
    <w:rsid w:val="000119BE"/>
    <w:rsid w:val="00012413"/>
    <w:rsid w:val="00013CF5"/>
    <w:rsid w:val="00020AB3"/>
    <w:rsid w:val="00027E32"/>
    <w:rsid w:val="00033C74"/>
    <w:rsid w:val="00034A67"/>
    <w:rsid w:val="00035071"/>
    <w:rsid w:val="000351C3"/>
    <w:rsid w:val="000359C8"/>
    <w:rsid w:val="0004279E"/>
    <w:rsid w:val="00051751"/>
    <w:rsid w:val="00055E65"/>
    <w:rsid w:val="000577C3"/>
    <w:rsid w:val="00057D8A"/>
    <w:rsid w:val="000602CC"/>
    <w:rsid w:val="00060674"/>
    <w:rsid w:val="000607FC"/>
    <w:rsid w:val="00061B73"/>
    <w:rsid w:val="00063BD2"/>
    <w:rsid w:val="00064D30"/>
    <w:rsid w:val="00067F7C"/>
    <w:rsid w:val="00070608"/>
    <w:rsid w:val="00070DC5"/>
    <w:rsid w:val="0007251D"/>
    <w:rsid w:val="000830E5"/>
    <w:rsid w:val="0008412C"/>
    <w:rsid w:val="00085B40"/>
    <w:rsid w:val="000942AB"/>
    <w:rsid w:val="000A200D"/>
    <w:rsid w:val="000A4223"/>
    <w:rsid w:val="000A4DE2"/>
    <w:rsid w:val="000B06E9"/>
    <w:rsid w:val="000B0EB3"/>
    <w:rsid w:val="000B2DA3"/>
    <w:rsid w:val="000B3918"/>
    <w:rsid w:val="000B46B1"/>
    <w:rsid w:val="000B569E"/>
    <w:rsid w:val="000C5229"/>
    <w:rsid w:val="000C57FE"/>
    <w:rsid w:val="000D2E4C"/>
    <w:rsid w:val="000E0AC9"/>
    <w:rsid w:val="000E11B5"/>
    <w:rsid w:val="000E29C8"/>
    <w:rsid w:val="000E427A"/>
    <w:rsid w:val="000E4760"/>
    <w:rsid w:val="000E5510"/>
    <w:rsid w:val="000E7CC5"/>
    <w:rsid w:val="000F1CBD"/>
    <w:rsid w:val="000F21F6"/>
    <w:rsid w:val="000F485F"/>
    <w:rsid w:val="000F50DC"/>
    <w:rsid w:val="000F5BCE"/>
    <w:rsid w:val="000F787A"/>
    <w:rsid w:val="00100A67"/>
    <w:rsid w:val="0010279D"/>
    <w:rsid w:val="0010296E"/>
    <w:rsid w:val="00104294"/>
    <w:rsid w:val="00104F50"/>
    <w:rsid w:val="00106995"/>
    <w:rsid w:val="001158ED"/>
    <w:rsid w:val="00124C8D"/>
    <w:rsid w:val="00125F16"/>
    <w:rsid w:val="00131533"/>
    <w:rsid w:val="001345A4"/>
    <w:rsid w:val="00141C93"/>
    <w:rsid w:val="00142374"/>
    <w:rsid w:val="00142CF1"/>
    <w:rsid w:val="00143B6E"/>
    <w:rsid w:val="001533A0"/>
    <w:rsid w:val="00167C69"/>
    <w:rsid w:val="00171610"/>
    <w:rsid w:val="00171ADD"/>
    <w:rsid w:val="0017371A"/>
    <w:rsid w:val="00177C10"/>
    <w:rsid w:val="00180F5B"/>
    <w:rsid w:val="0018352C"/>
    <w:rsid w:val="0018534C"/>
    <w:rsid w:val="0018598B"/>
    <w:rsid w:val="0018744A"/>
    <w:rsid w:val="00190422"/>
    <w:rsid w:val="00194ED2"/>
    <w:rsid w:val="001967EA"/>
    <w:rsid w:val="001A15C7"/>
    <w:rsid w:val="001A28EE"/>
    <w:rsid w:val="001A2D01"/>
    <w:rsid w:val="001A7A6E"/>
    <w:rsid w:val="001B2F59"/>
    <w:rsid w:val="001B4BC5"/>
    <w:rsid w:val="001C19E2"/>
    <w:rsid w:val="001C3A4C"/>
    <w:rsid w:val="001D1CFC"/>
    <w:rsid w:val="001D401C"/>
    <w:rsid w:val="001D48CB"/>
    <w:rsid w:val="001D4AD8"/>
    <w:rsid w:val="001E01C3"/>
    <w:rsid w:val="001E059B"/>
    <w:rsid w:val="001E2A1A"/>
    <w:rsid w:val="001E6142"/>
    <w:rsid w:val="001E7C2A"/>
    <w:rsid w:val="001F5719"/>
    <w:rsid w:val="001F6656"/>
    <w:rsid w:val="001F7604"/>
    <w:rsid w:val="002021BF"/>
    <w:rsid w:val="0020284D"/>
    <w:rsid w:val="002053B4"/>
    <w:rsid w:val="00213675"/>
    <w:rsid w:val="00217532"/>
    <w:rsid w:val="00222F4A"/>
    <w:rsid w:val="00223149"/>
    <w:rsid w:val="002233B0"/>
    <w:rsid w:val="002237B0"/>
    <w:rsid w:val="00224415"/>
    <w:rsid w:val="00225B05"/>
    <w:rsid w:val="00227C9C"/>
    <w:rsid w:val="0023373D"/>
    <w:rsid w:val="00235E3A"/>
    <w:rsid w:val="00236EC9"/>
    <w:rsid w:val="002374AE"/>
    <w:rsid w:val="00242385"/>
    <w:rsid w:val="00242984"/>
    <w:rsid w:val="00242DF9"/>
    <w:rsid w:val="00243292"/>
    <w:rsid w:val="00245FA9"/>
    <w:rsid w:val="00246184"/>
    <w:rsid w:val="0024659A"/>
    <w:rsid w:val="00246B7E"/>
    <w:rsid w:val="0024787B"/>
    <w:rsid w:val="00251358"/>
    <w:rsid w:val="00251EB7"/>
    <w:rsid w:val="00255B31"/>
    <w:rsid w:val="002568B3"/>
    <w:rsid w:val="0025753A"/>
    <w:rsid w:val="00260A8F"/>
    <w:rsid w:val="00261F07"/>
    <w:rsid w:val="00262A09"/>
    <w:rsid w:val="00262A27"/>
    <w:rsid w:val="00263DA1"/>
    <w:rsid w:val="002722F1"/>
    <w:rsid w:val="00272BBB"/>
    <w:rsid w:val="002819DC"/>
    <w:rsid w:val="00293FA7"/>
    <w:rsid w:val="00294407"/>
    <w:rsid w:val="00294C35"/>
    <w:rsid w:val="0029656A"/>
    <w:rsid w:val="00296E90"/>
    <w:rsid w:val="002A018F"/>
    <w:rsid w:val="002A02FA"/>
    <w:rsid w:val="002A41AE"/>
    <w:rsid w:val="002A6D1B"/>
    <w:rsid w:val="002B2A11"/>
    <w:rsid w:val="002B2B50"/>
    <w:rsid w:val="002B4253"/>
    <w:rsid w:val="002B6DA8"/>
    <w:rsid w:val="002C0E9B"/>
    <w:rsid w:val="002C0F64"/>
    <w:rsid w:val="002C2611"/>
    <w:rsid w:val="002C307F"/>
    <w:rsid w:val="002C3F53"/>
    <w:rsid w:val="002C4D7F"/>
    <w:rsid w:val="002D1DD5"/>
    <w:rsid w:val="002D3C0F"/>
    <w:rsid w:val="002D77B3"/>
    <w:rsid w:val="002E0645"/>
    <w:rsid w:val="002E0A40"/>
    <w:rsid w:val="002E1218"/>
    <w:rsid w:val="002E4AF5"/>
    <w:rsid w:val="002E7A33"/>
    <w:rsid w:val="002F3C2E"/>
    <w:rsid w:val="002F719C"/>
    <w:rsid w:val="002F74EB"/>
    <w:rsid w:val="0030054A"/>
    <w:rsid w:val="00312D45"/>
    <w:rsid w:val="00314997"/>
    <w:rsid w:val="0031599C"/>
    <w:rsid w:val="003159FE"/>
    <w:rsid w:val="0031621D"/>
    <w:rsid w:val="00316BD3"/>
    <w:rsid w:val="00320D05"/>
    <w:rsid w:val="0032125C"/>
    <w:rsid w:val="00321DBE"/>
    <w:rsid w:val="003220D8"/>
    <w:rsid w:val="00322670"/>
    <w:rsid w:val="00323562"/>
    <w:rsid w:val="00324AD8"/>
    <w:rsid w:val="0033159A"/>
    <w:rsid w:val="003347D1"/>
    <w:rsid w:val="00335943"/>
    <w:rsid w:val="00336607"/>
    <w:rsid w:val="003376FC"/>
    <w:rsid w:val="003422E2"/>
    <w:rsid w:val="00344C97"/>
    <w:rsid w:val="00345492"/>
    <w:rsid w:val="00347EFA"/>
    <w:rsid w:val="0035733C"/>
    <w:rsid w:val="003635FC"/>
    <w:rsid w:val="00366DEA"/>
    <w:rsid w:val="0036710F"/>
    <w:rsid w:val="00367B38"/>
    <w:rsid w:val="0037106A"/>
    <w:rsid w:val="003716EF"/>
    <w:rsid w:val="00372500"/>
    <w:rsid w:val="003746D1"/>
    <w:rsid w:val="003855D8"/>
    <w:rsid w:val="00387417"/>
    <w:rsid w:val="003877C8"/>
    <w:rsid w:val="00391AE8"/>
    <w:rsid w:val="0039473B"/>
    <w:rsid w:val="00394AE5"/>
    <w:rsid w:val="003A4FBD"/>
    <w:rsid w:val="003A5609"/>
    <w:rsid w:val="003A73B5"/>
    <w:rsid w:val="003A7961"/>
    <w:rsid w:val="003B2402"/>
    <w:rsid w:val="003B2FB8"/>
    <w:rsid w:val="003B7539"/>
    <w:rsid w:val="003B7881"/>
    <w:rsid w:val="003C695E"/>
    <w:rsid w:val="003D0B99"/>
    <w:rsid w:val="003D4F4F"/>
    <w:rsid w:val="003D6F13"/>
    <w:rsid w:val="003D7AFD"/>
    <w:rsid w:val="003E2222"/>
    <w:rsid w:val="003E38F6"/>
    <w:rsid w:val="003E569C"/>
    <w:rsid w:val="003E5FFE"/>
    <w:rsid w:val="003E7A8E"/>
    <w:rsid w:val="003F0A48"/>
    <w:rsid w:val="003F2C1B"/>
    <w:rsid w:val="003F64FE"/>
    <w:rsid w:val="003F6A5D"/>
    <w:rsid w:val="00402828"/>
    <w:rsid w:val="004076A2"/>
    <w:rsid w:val="004079C3"/>
    <w:rsid w:val="0041464E"/>
    <w:rsid w:val="00416A63"/>
    <w:rsid w:val="00416B28"/>
    <w:rsid w:val="00420D71"/>
    <w:rsid w:val="00430965"/>
    <w:rsid w:val="0044056A"/>
    <w:rsid w:val="004421AC"/>
    <w:rsid w:val="0044640A"/>
    <w:rsid w:val="00446A4A"/>
    <w:rsid w:val="00447DEE"/>
    <w:rsid w:val="00447FD7"/>
    <w:rsid w:val="00450C5A"/>
    <w:rsid w:val="00451604"/>
    <w:rsid w:val="00453D98"/>
    <w:rsid w:val="00455D0A"/>
    <w:rsid w:val="00457B79"/>
    <w:rsid w:val="0046136C"/>
    <w:rsid w:val="004628C1"/>
    <w:rsid w:val="00464D3A"/>
    <w:rsid w:val="0047090D"/>
    <w:rsid w:val="00473A30"/>
    <w:rsid w:val="00476778"/>
    <w:rsid w:val="004773DB"/>
    <w:rsid w:val="00480955"/>
    <w:rsid w:val="00481F34"/>
    <w:rsid w:val="004826F5"/>
    <w:rsid w:val="0048395B"/>
    <w:rsid w:val="00487AB2"/>
    <w:rsid w:val="0049118E"/>
    <w:rsid w:val="00491E6E"/>
    <w:rsid w:val="00496604"/>
    <w:rsid w:val="004A6BAD"/>
    <w:rsid w:val="004B0090"/>
    <w:rsid w:val="004B2824"/>
    <w:rsid w:val="004B4501"/>
    <w:rsid w:val="004C1F56"/>
    <w:rsid w:val="004D0024"/>
    <w:rsid w:val="004D0635"/>
    <w:rsid w:val="004D0940"/>
    <w:rsid w:val="004D1390"/>
    <w:rsid w:val="004D2521"/>
    <w:rsid w:val="004D33FA"/>
    <w:rsid w:val="004D5126"/>
    <w:rsid w:val="004D69EE"/>
    <w:rsid w:val="004E292F"/>
    <w:rsid w:val="004E5BB2"/>
    <w:rsid w:val="004E6025"/>
    <w:rsid w:val="004F1E06"/>
    <w:rsid w:val="004F24AB"/>
    <w:rsid w:val="004F4C37"/>
    <w:rsid w:val="004F5A95"/>
    <w:rsid w:val="004F6015"/>
    <w:rsid w:val="004F66AE"/>
    <w:rsid w:val="004F71E7"/>
    <w:rsid w:val="004F76E3"/>
    <w:rsid w:val="0050080E"/>
    <w:rsid w:val="00504359"/>
    <w:rsid w:val="00505D05"/>
    <w:rsid w:val="005064A7"/>
    <w:rsid w:val="00506BE3"/>
    <w:rsid w:val="00507C37"/>
    <w:rsid w:val="005116E6"/>
    <w:rsid w:val="00513A63"/>
    <w:rsid w:val="00515794"/>
    <w:rsid w:val="0052099E"/>
    <w:rsid w:val="00523670"/>
    <w:rsid w:val="0052380D"/>
    <w:rsid w:val="005249FF"/>
    <w:rsid w:val="005254C3"/>
    <w:rsid w:val="005254D4"/>
    <w:rsid w:val="00526F56"/>
    <w:rsid w:val="00532D7D"/>
    <w:rsid w:val="00536679"/>
    <w:rsid w:val="005371DC"/>
    <w:rsid w:val="005374C2"/>
    <w:rsid w:val="00541A7B"/>
    <w:rsid w:val="005424DD"/>
    <w:rsid w:val="00556257"/>
    <w:rsid w:val="00560305"/>
    <w:rsid w:val="00561476"/>
    <w:rsid w:val="00567480"/>
    <w:rsid w:val="00571119"/>
    <w:rsid w:val="00573D8F"/>
    <w:rsid w:val="005771D6"/>
    <w:rsid w:val="00577972"/>
    <w:rsid w:val="00582FE5"/>
    <w:rsid w:val="005868C3"/>
    <w:rsid w:val="0059133D"/>
    <w:rsid w:val="005933DF"/>
    <w:rsid w:val="005967C0"/>
    <w:rsid w:val="00596BA2"/>
    <w:rsid w:val="00596FB1"/>
    <w:rsid w:val="005A02A2"/>
    <w:rsid w:val="005A0308"/>
    <w:rsid w:val="005A11B8"/>
    <w:rsid w:val="005A2DA2"/>
    <w:rsid w:val="005A3A52"/>
    <w:rsid w:val="005B3A6D"/>
    <w:rsid w:val="005B41C7"/>
    <w:rsid w:val="005B6B9E"/>
    <w:rsid w:val="005C156C"/>
    <w:rsid w:val="005D0831"/>
    <w:rsid w:val="005E046E"/>
    <w:rsid w:val="005E1328"/>
    <w:rsid w:val="005E5391"/>
    <w:rsid w:val="005E64F0"/>
    <w:rsid w:val="005F4A3E"/>
    <w:rsid w:val="00601052"/>
    <w:rsid w:val="00605682"/>
    <w:rsid w:val="00605BA0"/>
    <w:rsid w:val="00607837"/>
    <w:rsid w:val="00612DC8"/>
    <w:rsid w:val="006179B0"/>
    <w:rsid w:val="00617C4C"/>
    <w:rsid w:val="00621815"/>
    <w:rsid w:val="0062313C"/>
    <w:rsid w:val="006359A4"/>
    <w:rsid w:val="0064012B"/>
    <w:rsid w:val="006411CE"/>
    <w:rsid w:val="00643578"/>
    <w:rsid w:val="006445DF"/>
    <w:rsid w:val="00646233"/>
    <w:rsid w:val="006503ED"/>
    <w:rsid w:val="0065145C"/>
    <w:rsid w:val="00653EBB"/>
    <w:rsid w:val="00654C0C"/>
    <w:rsid w:val="00656951"/>
    <w:rsid w:val="00657F8C"/>
    <w:rsid w:val="00661937"/>
    <w:rsid w:val="00663397"/>
    <w:rsid w:val="00664927"/>
    <w:rsid w:val="00664D34"/>
    <w:rsid w:val="00666B8D"/>
    <w:rsid w:val="006762E3"/>
    <w:rsid w:val="0068188C"/>
    <w:rsid w:val="00685181"/>
    <w:rsid w:val="0069038C"/>
    <w:rsid w:val="00692914"/>
    <w:rsid w:val="0069440B"/>
    <w:rsid w:val="006946C7"/>
    <w:rsid w:val="006A1503"/>
    <w:rsid w:val="006A1CA6"/>
    <w:rsid w:val="006A2FF3"/>
    <w:rsid w:val="006A355A"/>
    <w:rsid w:val="006A4B2C"/>
    <w:rsid w:val="006A6DC4"/>
    <w:rsid w:val="006A7139"/>
    <w:rsid w:val="006B163C"/>
    <w:rsid w:val="006B1BFB"/>
    <w:rsid w:val="006B1F93"/>
    <w:rsid w:val="006B2F60"/>
    <w:rsid w:val="006B4480"/>
    <w:rsid w:val="006B7278"/>
    <w:rsid w:val="006C1563"/>
    <w:rsid w:val="006C168D"/>
    <w:rsid w:val="006C17FE"/>
    <w:rsid w:val="006C2300"/>
    <w:rsid w:val="006C6B04"/>
    <w:rsid w:val="006C7DCB"/>
    <w:rsid w:val="006E0412"/>
    <w:rsid w:val="006E2031"/>
    <w:rsid w:val="006E2479"/>
    <w:rsid w:val="006E2776"/>
    <w:rsid w:val="006E3C45"/>
    <w:rsid w:val="006E510E"/>
    <w:rsid w:val="006E5943"/>
    <w:rsid w:val="006F3477"/>
    <w:rsid w:val="006F56B2"/>
    <w:rsid w:val="006F685A"/>
    <w:rsid w:val="0070041B"/>
    <w:rsid w:val="0070773E"/>
    <w:rsid w:val="00711E87"/>
    <w:rsid w:val="00712F8C"/>
    <w:rsid w:val="007220BA"/>
    <w:rsid w:val="00725A4D"/>
    <w:rsid w:val="00726C4C"/>
    <w:rsid w:val="00726E45"/>
    <w:rsid w:val="00735630"/>
    <w:rsid w:val="0074050B"/>
    <w:rsid w:val="007419AC"/>
    <w:rsid w:val="00742FEB"/>
    <w:rsid w:val="007465CD"/>
    <w:rsid w:val="0074712A"/>
    <w:rsid w:val="00747702"/>
    <w:rsid w:val="00750A65"/>
    <w:rsid w:val="007546E7"/>
    <w:rsid w:val="00754723"/>
    <w:rsid w:val="0075527F"/>
    <w:rsid w:val="00755699"/>
    <w:rsid w:val="00755762"/>
    <w:rsid w:val="00762260"/>
    <w:rsid w:val="007623C2"/>
    <w:rsid w:val="007626A8"/>
    <w:rsid w:val="0076270B"/>
    <w:rsid w:val="00762C05"/>
    <w:rsid w:val="00762C9E"/>
    <w:rsid w:val="00766E92"/>
    <w:rsid w:val="00770456"/>
    <w:rsid w:val="0078340D"/>
    <w:rsid w:val="0078379A"/>
    <w:rsid w:val="00784A06"/>
    <w:rsid w:val="00786A46"/>
    <w:rsid w:val="00787321"/>
    <w:rsid w:val="00790FA3"/>
    <w:rsid w:val="007927B5"/>
    <w:rsid w:val="007928A1"/>
    <w:rsid w:val="00792E28"/>
    <w:rsid w:val="00793F48"/>
    <w:rsid w:val="00794D97"/>
    <w:rsid w:val="0079784A"/>
    <w:rsid w:val="007A2ED7"/>
    <w:rsid w:val="007A344D"/>
    <w:rsid w:val="007A5EE7"/>
    <w:rsid w:val="007B0E05"/>
    <w:rsid w:val="007B53A5"/>
    <w:rsid w:val="007B5F4C"/>
    <w:rsid w:val="007C2B94"/>
    <w:rsid w:val="007C4BA5"/>
    <w:rsid w:val="007D51AD"/>
    <w:rsid w:val="007D5F56"/>
    <w:rsid w:val="007E19AE"/>
    <w:rsid w:val="007E269C"/>
    <w:rsid w:val="007E79D4"/>
    <w:rsid w:val="007F323C"/>
    <w:rsid w:val="007F5A5B"/>
    <w:rsid w:val="007F5FB1"/>
    <w:rsid w:val="007F701A"/>
    <w:rsid w:val="00802AC9"/>
    <w:rsid w:val="00804791"/>
    <w:rsid w:val="0081005F"/>
    <w:rsid w:val="00811049"/>
    <w:rsid w:val="00812EDC"/>
    <w:rsid w:val="00814289"/>
    <w:rsid w:val="008165B2"/>
    <w:rsid w:val="008202C0"/>
    <w:rsid w:val="0082106B"/>
    <w:rsid w:val="00821F8D"/>
    <w:rsid w:val="008238AE"/>
    <w:rsid w:val="00831851"/>
    <w:rsid w:val="008327CC"/>
    <w:rsid w:val="0083660A"/>
    <w:rsid w:val="00837B3D"/>
    <w:rsid w:val="008430FB"/>
    <w:rsid w:val="00844407"/>
    <w:rsid w:val="0084580C"/>
    <w:rsid w:val="00847A96"/>
    <w:rsid w:val="00860AA1"/>
    <w:rsid w:val="00864B92"/>
    <w:rsid w:val="00865213"/>
    <w:rsid w:val="008748E3"/>
    <w:rsid w:val="00875BEE"/>
    <w:rsid w:val="00876ACD"/>
    <w:rsid w:val="008802F5"/>
    <w:rsid w:val="0088063A"/>
    <w:rsid w:val="00881798"/>
    <w:rsid w:val="008841ED"/>
    <w:rsid w:val="00885F52"/>
    <w:rsid w:val="00890120"/>
    <w:rsid w:val="00891D9A"/>
    <w:rsid w:val="00892DB5"/>
    <w:rsid w:val="008978E2"/>
    <w:rsid w:val="00897B35"/>
    <w:rsid w:val="00897C44"/>
    <w:rsid w:val="008A0B0A"/>
    <w:rsid w:val="008A1246"/>
    <w:rsid w:val="008A1F90"/>
    <w:rsid w:val="008A4D8C"/>
    <w:rsid w:val="008B0085"/>
    <w:rsid w:val="008B26A4"/>
    <w:rsid w:val="008B2FDE"/>
    <w:rsid w:val="008B3690"/>
    <w:rsid w:val="008B3EDD"/>
    <w:rsid w:val="008C0E09"/>
    <w:rsid w:val="008C10EC"/>
    <w:rsid w:val="008C15E2"/>
    <w:rsid w:val="008C19A2"/>
    <w:rsid w:val="008C5D20"/>
    <w:rsid w:val="008C61B4"/>
    <w:rsid w:val="008C78F6"/>
    <w:rsid w:val="008D04D6"/>
    <w:rsid w:val="008D05D3"/>
    <w:rsid w:val="008D0DC9"/>
    <w:rsid w:val="008E12B3"/>
    <w:rsid w:val="008E5699"/>
    <w:rsid w:val="008F5DBF"/>
    <w:rsid w:val="00900E27"/>
    <w:rsid w:val="009010C6"/>
    <w:rsid w:val="00905449"/>
    <w:rsid w:val="00913158"/>
    <w:rsid w:val="009164CB"/>
    <w:rsid w:val="00926009"/>
    <w:rsid w:val="009270D6"/>
    <w:rsid w:val="009308DB"/>
    <w:rsid w:val="0093262D"/>
    <w:rsid w:val="009330BC"/>
    <w:rsid w:val="00936DF6"/>
    <w:rsid w:val="00941165"/>
    <w:rsid w:val="0094546A"/>
    <w:rsid w:val="00946669"/>
    <w:rsid w:val="00946E8F"/>
    <w:rsid w:val="009470B1"/>
    <w:rsid w:val="0095249E"/>
    <w:rsid w:val="00952D1D"/>
    <w:rsid w:val="009632BF"/>
    <w:rsid w:val="009637BB"/>
    <w:rsid w:val="00964DD2"/>
    <w:rsid w:val="00970335"/>
    <w:rsid w:val="00970D19"/>
    <w:rsid w:val="00973668"/>
    <w:rsid w:val="0097489B"/>
    <w:rsid w:val="00974BA5"/>
    <w:rsid w:val="00974C28"/>
    <w:rsid w:val="00977D1E"/>
    <w:rsid w:val="009807E1"/>
    <w:rsid w:val="00980E77"/>
    <w:rsid w:val="009815F1"/>
    <w:rsid w:val="00982191"/>
    <w:rsid w:val="00984669"/>
    <w:rsid w:val="00984B20"/>
    <w:rsid w:val="009852BC"/>
    <w:rsid w:val="009909C3"/>
    <w:rsid w:val="009921A8"/>
    <w:rsid w:val="009922AA"/>
    <w:rsid w:val="00994946"/>
    <w:rsid w:val="009955C0"/>
    <w:rsid w:val="00997B44"/>
    <w:rsid w:val="009A38BF"/>
    <w:rsid w:val="009A483E"/>
    <w:rsid w:val="009A5BEF"/>
    <w:rsid w:val="009A7965"/>
    <w:rsid w:val="009B1B6B"/>
    <w:rsid w:val="009B7CB2"/>
    <w:rsid w:val="009C0170"/>
    <w:rsid w:val="009C11BE"/>
    <w:rsid w:val="009C19C9"/>
    <w:rsid w:val="009C1EA8"/>
    <w:rsid w:val="009C4C8D"/>
    <w:rsid w:val="009C63FB"/>
    <w:rsid w:val="009E27F7"/>
    <w:rsid w:val="009E33CC"/>
    <w:rsid w:val="009E6255"/>
    <w:rsid w:val="009E727B"/>
    <w:rsid w:val="009F5ACE"/>
    <w:rsid w:val="009F7D64"/>
    <w:rsid w:val="00A011BF"/>
    <w:rsid w:val="00A01FF8"/>
    <w:rsid w:val="00A0353F"/>
    <w:rsid w:val="00A0562F"/>
    <w:rsid w:val="00A10E30"/>
    <w:rsid w:val="00A129EA"/>
    <w:rsid w:val="00A14BB1"/>
    <w:rsid w:val="00A14C47"/>
    <w:rsid w:val="00A175BD"/>
    <w:rsid w:val="00A17721"/>
    <w:rsid w:val="00A17858"/>
    <w:rsid w:val="00A178B3"/>
    <w:rsid w:val="00A21802"/>
    <w:rsid w:val="00A271B1"/>
    <w:rsid w:val="00A35247"/>
    <w:rsid w:val="00A41C2E"/>
    <w:rsid w:val="00A444D6"/>
    <w:rsid w:val="00A45135"/>
    <w:rsid w:val="00A4755F"/>
    <w:rsid w:val="00A47D8C"/>
    <w:rsid w:val="00A56269"/>
    <w:rsid w:val="00A567DE"/>
    <w:rsid w:val="00A57025"/>
    <w:rsid w:val="00A6159B"/>
    <w:rsid w:val="00A61841"/>
    <w:rsid w:val="00A65A6D"/>
    <w:rsid w:val="00A66D0C"/>
    <w:rsid w:val="00A67753"/>
    <w:rsid w:val="00A726ED"/>
    <w:rsid w:val="00A850E3"/>
    <w:rsid w:val="00A86A0D"/>
    <w:rsid w:val="00A86CCF"/>
    <w:rsid w:val="00A95185"/>
    <w:rsid w:val="00A96C43"/>
    <w:rsid w:val="00AA0DC2"/>
    <w:rsid w:val="00AA4096"/>
    <w:rsid w:val="00AA6869"/>
    <w:rsid w:val="00AA706A"/>
    <w:rsid w:val="00AB05D4"/>
    <w:rsid w:val="00AB2E20"/>
    <w:rsid w:val="00AB51D4"/>
    <w:rsid w:val="00AB693D"/>
    <w:rsid w:val="00AB76ED"/>
    <w:rsid w:val="00AC398A"/>
    <w:rsid w:val="00AC3AB8"/>
    <w:rsid w:val="00AC5EED"/>
    <w:rsid w:val="00AC6311"/>
    <w:rsid w:val="00AC7FDC"/>
    <w:rsid w:val="00AD3590"/>
    <w:rsid w:val="00AD3ECF"/>
    <w:rsid w:val="00AD41B9"/>
    <w:rsid w:val="00AD4AB4"/>
    <w:rsid w:val="00AD6EEA"/>
    <w:rsid w:val="00AD6F84"/>
    <w:rsid w:val="00AE1097"/>
    <w:rsid w:val="00AE6443"/>
    <w:rsid w:val="00AE6F47"/>
    <w:rsid w:val="00AE7095"/>
    <w:rsid w:val="00AF068A"/>
    <w:rsid w:val="00AF1970"/>
    <w:rsid w:val="00AF6CF4"/>
    <w:rsid w:val="00AF7D4C"/>
    <w:rsid w:val="00B02C1D"/>
    <w:rsid w:val="00B02D5F"/>
    <w:rsid w:val="00B03BAA"/>
    <w:rsid w:val="00B076E0"/>
    <w:rsid w:val="00B10E92"/>
    <w:rsid w:val="00B11704"/>
    <w:rsid w:val="00B12246"/>
    <w:rsid w:val="00B13BD6"/>
    <w:rsid w:val="00B15241"/>
    <w:rsid w:val="00B16107"/>
    <w:rsid w:val="00B21F54"/>
    <w:rsid w:val="00B22B36"/>
    <w:rsid w:val="00B23758"/>
    <w:rsid w:val="00B23A00"/>
    <w:rsid w:val="00B24E98"/>
    <w:rsid w:val="00B3097D"/>
    <w:rsid w:val="00B31DF0"/>
    <w:rsid w:val="00B33E31"/>
    <w:rsid w:val="00B36097"/>
    <w:rsid w:val="00B447B4"/>
    <w:rsid w:val="00B45E6E"/>
    <w:rsid w:val="00B47CB4"/>
    <w:rsid w:val="00B53D3F"/>
    <w:rsid w:val="00B65C11"/>
    <w:rsid w:val="00B6627C"/>
    <w:rsid w:val="00B7078B"/>
    <w:rsid w:val="00B7287A"/>
    <w:rsid w:val="00B73A64"/>
    <w:rsid w:val="00B75FB4"/>
    <w:rsid w:val="00B76641"/>
    <w:rsid w:val="00B80160"/>
    <w:rsid w:val="00B83128"/>
    <w:rsid w:val="00B9171E"/>
    <w:rsid w:val="00B93CB6"/>
    <w:rsid w:val="00B97276"/>
    <w:rsid w:val="00BA20B4"/>
    <w:rsid w:val="00BA5B91"/>
    <w:rsid w:val="00BA72FE"/>
    <w:rsid w:val="00BB1810"/>
    <w:rsid w:val="00BB2A16"/>
    <w:rsid w:val="00BB4898"/>
    <w:rsid w:val="00BB48EB"/>
    <w:rsid w:val="00BB6462"/>
    <w:rsid w:val="00BB65E9"/>
    <w:rsid w:val="00BB755A"/>
    <w:rsid w:val="00BB7CE2"/>
    <w:rsid w:val="00BC0011"/>
    <w:rsid w:val="00BC063C"/>
    <w:rsid w:val="00BC1ACF"/>
    <w:rsid w:val="00BC35B2"/>
    <w:rsid w:val="00BC4404"/>
    <w:rsid w:val="00BC44E6"/>
    <w:rsid w:val="00BC7F18"/>
    <w:rsid w:val="00BD7335"/>
    <w:rsid w:val="00BE00DB"/>
    <w:rsid w:val="00BE3B9A"/>
    <w:rsid w:val="00BE43D1"/>
    <w:rsid w:val="00BE5097"/>
    <w:rsid w:val="00BE7F80"/>
    <w:rsid w:val="00BF4FA1"/>
    <w:rsid w:val="00BF6C79"/>
    <w:rsid w:val="00BF7E0D"/>
    <w:rsid w:val="00C00608"/>
    <w:rsid w:val="00C02F8D"/>
    <w:rsid w:val="00C03C23"/>
    <w:rsid w:val="00C059EE"/>
    <w:rsid w:val="00C20C89"/>
    <w:rsid w:val="00C2242A"/>
    <w:rsid w:val="00C261E7"/>
    <w:rsid w:val="00C2734B"/>
    <w:rsid w:val="00C30917"/>
    <w:rsid w:val="00C316F2"/>
    <w:rsid w:val="00C31B4E"/>
    <w:rsid w:val="00C33F9A"/>
    <w:rsid w:val="00C409F9"/>
    <w:rsid w:val="00C418A7"/>
    <w:rsid w:val="00C42F27"/>
    <w:rsid w:val="00C446B4"/>
    <w:rsid w:val="00C44EE9"/>
    <w:rsid w:val="00C45E35"/>
    <w:rsid w:val="00C46008"/>
    <w:rsid w:val="00C50CC3"/>
    <w:rsid w:val="00C530E2"/>
    <w:rsid w:val="00C57462"/>
    <w:rsid w:val="00C57A30"/>
    <w:rsid w:val="00C61D4F"/>
    <w:rsid w:val="00C61EF1"/>
    <w:rsid w:val="00C63644"/>
    <w:rsid w:val="00C63906"/>
    <w:rsid w:val="00C639B8"/>
    <w:rsid w:val="00C65A03"/>
    <w:rsid w:val="00C671F0"/>
    <w:rsid w:val="00C70DD1"/>
    <w:rsid w:val="00C7123C"/>
    <w:rsid w:val="00C71E60"/>
    <w:rsid w:val="00C72434"/>
    <w:rsid w:val="00C725CA"/>
    <w:rsid w:val="00C7362B"/>
    <w:rsid w:val="00C77A4A"/>
    <w:rsid w:val="00C8009D"/>
    <w:rsid w:val="00C80839"/>
    <w:rsid w:val="00C814DF"/>
    <w:rsid w:val="00C84BA8"/>
    <w:rsid w:val="00C866B9"/>
    <w:rsid w:val="00C92347"/>
    <w:rsid w:val="00C9256A"/>
    <w:rsid w:val="00C93E86"/>
    <w:rsid w:val="00C94A5A"/>
    <w:rsid w:val="00C974B5"/>
    <w:rsid w:val="00CA2732"/>
    <w:rsid w:val="00CA5BC3"/>
    <w:rsid w:val="00CA5DF7"/>
    <w:rsid w:val="00CA7D85"/>
    <w:rsid w:val="00CB12BC"/>
    <w:rsid w:val="00CB1993"/>
    <w:rsid w:val="00CB1DAF"/>
    <w:rsid w:val="00CB4518"/>
    <w:rsid w:val="00CB6173"/>
    <w:rsid w:val="00CB64BB"/>
    <w:rsid w:val="00CB7480"/>
    <w:rsid w:val="00CC051F"/>
    <w:rsid w:val="00CC13A1"/>
    <w:rsid w:val="00CC18E1"/>
    <w:rsid w:val="00CC29E1"/>
    <w:rsid w:val="00CC5C76"/>
    <w:rsid w:val="00CD1396"/>
    <w:rsid w:val="00CD347A"/>
    <w:rsid w:val="00CD4C2A"/>
    <w:rsid w:val="00CE6DE8"/>
    <w:rsid w:val="00CF120A"/>
    <w:rsid w:val="00CF3403"/>
    <w:rsid w:val="00CF369E"/>
    <w:rsid w:val="00CF496C"/>
    <w:rsid w:val="00D00069"/>
    <w:rsid w:val="00D063AF"/>
    <w:rsid w:val="00D064E1"/>
    <w:rsid w:val="00D0752E"/>
    <w:rsid w:val="00D11F66"/>
    <w:rsid w:val="00D16D0D"/>
    <w:rsid w:val="00D17E78"/>
    <w:rsid w:val="00D21C0A"/>
    <w:rsid w:val="00D26803"/>
    <w:rsid w:val="00D3079A"/>
    <w:rsid w:val="00D309B0"/>
    <w:rsid w:val="00D31B4A"/>
    <w:rsid w:val="00D337F3"/>
    <w:rsid w:val="00D340F3"/>
    <w:rsid w:val="00D35F69"/>
    <w:rsid w:val="00D37EC6"/>
    <w:rsid w:val="00D42689"/>
    <w:rsid w:val="00D42E80"/>
    <w:rsid w:val="00D44B3D"/>
    <w:rsid w:val="00D44B90"/>
    <w:rsid w:val="00D458FA"/>
    <w:rsid w:val="00D46398"/>
    <w:rsid w:val="00D47433"/>
    <w:rsid w:val="00D51E98"/>
    <w:rsid w:val="00D52381"/>
    <w:rsid w:val="00D5300F"/>
    <w:rsid w:val="00D53BD9"/>
    <w:rsid w:val="00D548A7"/>
    <w:rsid w:val="00D54A85"/>
    <w:rsid w:val="00D55A94"/>
    <w:rsid w:val="00D56054"/>
    <w:rsid w:val="00D57DED"/>
    <w:rsid w:val="00D6009D"/>
    <w:rsid w:val="00D600FF"/>
    <w:rsid w:val="00D62E37"/>
    <w:rsid w:val="00D72D49"/>
    <w:rsid w:val="00D82B80"/>
    <w:rsid w:val="00D87C8E"/>
    <w:rsid w:val="00D971A6"/>
    <w:rsid w:val="00DA0095"/>
    <w:rsid w:val="00DA2F8A"/>
    <w:rsid w:val="00DA343E"/>
    <w:rsid w:val="00DA66D8"/>
    <w:rsid w:val="00DB5240"/>
    <w:rsid w:val="00DB7575"/>
    <w:rsid w:val="00DB7A14"/>
    <w:rsid w:val="00DC07AD"/>
    <w:rsid w:val="00DC44A7"/>
    <w:rsid w:val="00DC5041"/>
    <w:rsid w:val="00DC5268"/>
    <w:rsid w:val="00DC5BA9"/>
    <w:rsid w:val="00DD1972"/>
    <w:rsid w:val="00DD4A98"/>
    <w:rsid w:val="00DD544A"/>
    <w:rsid w:val="00DD64AA"/>
    <w:rsid w:val="00DE075B"/>
    <w:rsid w:val="00DF2A7D"/>
    <w:rsid w:val="00DF4259"/>
    <w:rsid w:val="00DF55D5"/>
    <w:rsid w:val="00DF74CB"/>
    <w:rsid w:val="00E02E42"/>
    <w:rsid w:val="00E03AE5"/>
    <w:rsid w:val="00E04ABC"/>
    <w:rsid w:val="00E05ECF"/>
    <w:rsid w:val="00E107D3"/>
    <w:rsid w:val="00E10E42"/>
    <w:rsid w:val="00E14A46"/>
    <w:rsid w:val="00E14E73"/>
    <w:rsid w:val="00E156B1"/>
    <w:rsid w:val="00E15A75"/>
    <w:rsid w:val="00E15DDF"/>
    <w:rsid w:val="00E20527"/>
    <w:rsid w:val="00E21B6F"/>
    <w:rsid w:val="00E23332"/>
    <w:rsid w:val="00E233F4"/>
    <w:rsid w:val="00E23AC2"/>
    <w:rsid w:val="00E23F46"/>
    <w:rsid w:val="00E25516"/>
    <w:rsid w:val="00E26500"/>
    <w:rsid w:val="00E30B46"/>
    <w:rsid w:val="00E359A8"/>
    <w:rsid w:val="00E42DD9"/>
    <w:rsid w:val="00E457FB"/>
    <w:rsid w:val="00E506F3"/>
    <w:rsid w:val="00E53ADF"/>
    <w:rsid w:val="00E55A9E"/>
    <w:rsid w:val="00E572E8"/>
    <w:rsid w:val="00E57B4F"/>
    <w:rsid w:val="00E57F1E"/>
    <w:rsid w:val="00E62436"/>
    <w:rsid w:val="00E626C4"/>
    <w:rsid w:val="00E64208"/>
    <w:rsid w:val="00E6420C"/>
    <w:rsid w:val="00E7550F"/>
    <w:rsid w:val="00E758A6"/>
    <w:rsid w:val="00E77A15"/>
    <w:rsid w:val="00E94B01"/>
    <w:rsid w:val="00E95329"/>
    <w:rsid w:val="00E954C4"/>
    <w:rsid w:val="00EA152D"/>
    <w:rsid w:val="00EA2167"/>
    <w:rsid w:val="00EA23CE"/>
    <w:rsid w:val="00EA3D50"/>
    <w:rsid w:val="00EA47DA"/>
    <w:rsid w:val="00EA7805"/>
    <w:rsid w:val="00EB0390"/>
    <w:rsid w:val="00EB08AC"/>
    <w:rsid w:val="00EB1225"/>
    <w:rsid w:val="00EB4FAB"/>
    <w:rsid w:val="00EB66EE"/>
    <w:rsid w:val="00EC1DE5"/>
    <w:rsid w:val="00EC2003"/>
    <w:rsid w:val="00ED049A"/>
    <w:rsid w:val="00ED2AB0"/>
    <w:rsid w:val="00ED3155"/>
    <w:rsid w:val="00ED4306"/>
    <w:rsid w:val="00ED4D20"/>
    <w:rsid w:val="00ED7026"/>
    <w:rsid w:val="00EE0D46"/>
    <w:rsid w:val="00EE1ACA"/>
    <w:rsid w:val="00EE4943"/>
    <w:rsid w:val="00EE4B63"/>
    <w:rsid w:val="00EE5FC8"/>
    <w:rsid w:val="00EE78B1"/>
    <w:rsid w:val="00EE7B93"/>
    <w:rsid w:val="00EF2A90"/>
    <w:rsid w:val="00EF5822"/>
    <w:rsid w:val="00F00000"/>
    <w:rsid w:val="00F01603"/>
    <w:rsid w:val="00F01E42"/>
    <w:rsid w:val="00F058B8"/>
    <w:rsid w:val="00F05C14"/>
    <w:rsid w:val="00F115C8"/>
    <w:rsid w:val="00F122A9"/>
    <w:rsid w:val="00F12DC5"/>
    <w:rsid w:val="00F140A2"/>
    <w:rsid w:val="00F16163"/>
    <w:rsid w:val="00F23EF6"/>
    <w:rsid w:val="00F24A99"/>
    <w:rsid w:val="00F274F9"/>
    <w:rsid w:val="00F27E06"/>
    <w:rsid w:val="00F310B8"/>
    <w:rsid w:val="00F35CAC"/>
    <w:rsid w:val="00F3633D"/>
    <w:rsid w:val="00F46BC5"/>
    <w:rsid w:val="00F50E6F"/>
    <w:rsid w:val="00F53911"/>
    <w:rsid w:val="00F5703F"/>
    <w:rsid w:val="00F57225"/>
    <w:rsid w:val="00F62370"/>
    <w:rsid w:val="00F64D1F"/>
    <w:rsid w:val="00F66D82"/>
    <w:rsid w:val="00F700B9"/>
    <w:rsid w:val="00F70CDB"/>
    <w:rsid w:val="00F80D2F"/>
    <w:rsid w:val="00F81B14"/>
    <w:rsid w:val="00F826EE"/>
    <w:rsid w:val="00F85585"/>
    <w:rsid w:val="00F85DE1"/>
    <w:rsid w:val="00F8628B"/>
    <w:rsid w:val="00F9144B"/>
    <w:rsid w:val="00F936CD"/>
    <w:rsid w:val="00F93BEC"/>
    <w:rsid w:val="00F940AB"/>
    <w:rsid w:val="00F94603"/>
    <w:rsid w:val="00F948DA"/>
    <w:rsid w:val="00F94CE0"/>
    <w:rsid w:val="00F94F65"/>
    <w:rsid w:val="00F95911"/>
    <w:rsid w:val="00F959BE"/>
    <w:rsid w:val="00FA7C77"/>
    <w:rsid w:val="00FB0BF4"/>
    <w:rsid w:val="00FB1F17"/>
    <w:rsid w:val="00FB4806"/>
    <w:rsid w:val="00FB4F7A"/>
    <w:rsid w:val="00FB698D"/>
    <w:rsid w:val="00FC4915"/>
    <w:rsid w:val="00FC551F"/>
    <w:rsid w:val="00FD41BD"/>
    <w:rsid w:val="00FE1261"/>
    <w:rsid w:val="00FE3843"/>
    <w:rsid w:val="00FE3E45"/>
    <w:rsid w:val="00FE5D34"/>
    <w:rsid w:val="00FE6FCB"/>
    <w:rsid w:val="00FE7A30"/>
    <w:rsid w:val="00FF0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C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404"/>
    <w:pPr>
      <w:spacing w:after="200" w:line="276" w:lineRule="auto"/>
      <w:ind w:firstLine="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EB14E-5E10-4836-A24C-D0A26AAA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43</cp:revision>
  <dcterms:created xsi:type="dcterms:W3CDTF">2015-10-15T17:29:00Z</dcterms:created>
  <dcterms:modified xsi:type="dcterms:W3CDTF">2015-10-16T20:18:00Z</dcterms:modified>
</cp:coreProperties>
</file>